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E024" w14:textId="20AA2E22" w:rsidR="00551C1F" w:rsidRDefault="00DB0DB0" w:rsidP="00F65866">
      <w:pPr>
        <w:pStyle w:val="Heading2"/>
        <w:rPr>
          <w:lang w:val="ro-RO"/>
        </w:rPr>
      </w:pPr>
      <w:bookmarkStart w:id="0" w:name="_Toc179892904"/>
      <w:proofErr w:type="spellStart"/>
      <w:r w:rsidRPr="00020EA1">
        <w:rPr>
          <w:lang w:val="ro-RO"/>
        </w:rPr>
        <w:t>An</w:t>
      </w:r>
      <w:r w:rsidR="00B5747F">
        <w:rPr>
          <w:lang w:val="ro-RO"/>
        </w:rPr>
        <w:t>nex</w:t>
      </w:r>
      <w:proofErr w:type="spellEnd"/>
      <w:r w:rsidRPr="00020EA1">
        <w:rPr>
          <w:lang w:val="ro-RO"/>
        </w:rPr>
        <w:t xml:space="preserve"> </w:t>
      </w:r>
      <w:bookmarkEnd w:id="0"/>
      <w:r w:rsidR="00B778E7">
        <w:rPr>
          <w:lang w:val="ro-RO"/>
        </w:rPr>
        <w:t xml:space="preserve">10.2 </w:t>
      </w:r>
      <w:r w:rsidR="00A64CEB">
        <w:t>Literature review</w:t>
      </w:r>
    </w:p>
    <w:p w14:paraId="2B8B673D" w14:textId="06C634A8" w:rsidR="00B778E7" w:rsidRPr="007E14FF" w:rsidRDefault="0059526C" w:rsidP="0059526C">
      <w:pPr>
        <w:rPr>
          <w:b/>
          <w:bCs/>
        </w:rPr>
      </w:pPr>
      <w:r w:rsidRPr="00CF3EB6">
        <w:rPr>
          <w:b/>
          <w:bCs/>
        </w:rPr>
        <w:t>Priority 1: Competitiveness through innovation and dynamic enterprises</w:t>
      </w:r>
    </w:p>
    <w:p w14:paraId="58F80F43" w14:textId="77777777" w:rsidR="00DF71C1" w:rsidRPr="00A200DA" w:rsidRDefault="00DF71C1" w:rsidP="00DF71C1">
      <w:pPr>
        <w:spacing w:line="276" w:lineRule="auto"/>
      </w:pPr>
      <w:r w:rsidRPr="00F81E1F">
        <w:t>For the European Union, small and medium-sized enterprises (SMEs) represent 99% of all businesses in the EU, employing more than 100 million people. SMEs are also considered to play an important role in innovation, climate change, resource efficiency and social cohesion.</w:t>
      </w:r>
    </w:p>
    <w:p w14:paraId="3F6E55E8" w14:textId="77777777" w:rsidR="00DF71C1" w:rsidRPr="00A200DA" w:rsidRDefault="00DF71C1" w:rsidP="00DF71C1">
      <w:pPr>
        <w:spacing w:line="276" w:lineRule="auto"/>
      </w:pPr>
      <w:r w:rsidRPr="003C39D6">
        <w:t>Already in 2020, the document "</w:t>
      </w:r>
      <w:r w:rsidRPr="003C39D6">
        <w:rPr>
          <w:b/>
          <w:bCs/>
        </w:rPr>
        <w:t>A Strategy for SMEs for a sustainable and digital Europe</w:t>
      </w:r>
      <w:r w:rsidRPr="003C39D6">
        <w:t>"</w:t>
      </w:r>
      <w:r w:rsidRPr="00A200DA">
        <w:rPr>
          <w:rStyle w:val="FootnoteReference"/>
        </w:rPr>
        <w:footnoteReference w:id="2"/>
      </w:r>
      <w:r w:rsidRPr="003C39D6">
        <w:t xml:space="preserve"> was issued, which proposes actions based on three pillars:</w:t>
      </w:r>
    </w:p>
    <w:p w14:paraId="06E27396" w14:textId="77777777" w:rsidR="00DF71C1" w:rsidRPr="00B93252" w:rsidRDefault="00DF71C1" w:rsidP="00DF71C1">
      <w:pPr>
        <w:pStyle w:val="ListParagraph"/>
        <w:numPr>
          <w:ilvl w:val="0"/>
          <w:numId w:val="20"/>
        </w:numPr>
        <w:spacing w:line="276" w:lineRule="auto"/>
      </w:pPr>
      <w:r w:rsidRPr="00B93252">
        <w:t>strengthening capacities and supporting the transition to sustainability and digitization;</w:t>
      </w:r>
    </w:p>
    <w:p w14:paraId="3878EDDA" w14:textId="77777777" w:rsidR="00DF71C1" w:rsidRPr="00B93252" w:rsidRDefault="00DF71C1" w:rsidP="00DF71C1">
      <w:pPr>
        <w:pStyle w:val="ListParagraph"/>
        <w:numPr>
          <w:ilvl w:val="0"/>
          <w:numId w:val="20"/>
        </w:numPr>
        <w:spacing w:line="276" w:lineRule="auto"/>
      </w:pPr>
      <w:r w:rsidRPr="00B93252">
        <w:t>reducing the regulatory burden and improving market access;</w:t>
      </w:r>
    </w:p>
    <w:p w14:paraId="12498C0E" w14:textId="77777777" w:rsidR="00DF71C1" w:rsidRPr="00A200DA" w:rsidRDefault="00DF71C1" w:rsidP="00DF71C1">
      <w:pPr>
        <w:pStyle w:val="ListParagraph"/>
        <w:numPr>
          <w:ilvl w:val="0"/>
          <w:numId w:val="20"/>
        </w:numPr>
        <w:spacing w:line="276" w:lineRule="auto"/>
        <w:contextualSpacing w:val="0"/>
      </w:pPr>
      <w:r w:rsidRPr="00B93252">
        <w:t>improving access to finance.</w:t>
      </w:r>
    </w:p>
    <w:p w14:paraId="2A8EAFFB" w14:textId="77777777" w:rsidR="00DF71C1" w:rsidRPr="00A200DA" w:rsidRDefault="00DF71C1" w:rsidP="00DF71C1">
      <w:pPr>
        <w:spacing w:line="276" w:lineRule="auto"/>
      </w:pPr>
      <w:r w:rsidRPr="00E44566">
        <w:t xml:space="preserve">In addition, the European Commission developed the </w:t>
      </w:r>
      <w:r w:rsidRPr="00E44566">
        <w:rPr>
          <w:b/>
          <w:bCs/>
        </w:rPr>
        <w:t>Strategy for Research and Innovation 2020-2024</w:t>
      </w:r>
      <w:r w:rsidRPr="00A200DA">
        <w:rPr>
          <w:rStyle w:val="FootnoteReference"/>
          <w:b/>
          <w:bCs/>
        </w:rPr>
        <w:footnoteReference w:id="3"/>
      </w:r>
      <w:r w:rsidRPr="00E44566">
        <w:t xml:space="preserve">, as the main reference document that sets the EU's priorities in the field of RDI and focuses on obtaining new knowledge and innovations for the transition to a </w:t>
      </w:r>
      <w:r w:rsidRPr="00E44566">
        <w:rPr>
          <w:b/>
          <w:bCs/>
        </w:rPr>
        <w:t>green and digital Europe</w:t>
      </w:r>
      <w:r w:rsidRPr="00E44566">
        <w:t>, but also on investments in RDI for strengthening the economic sector, preventing crisis situations or promoting democracy and European values.</w:t>
      </w:r>
    </w:p>
    <w:p w14:paraId="3F02012E" w14:textId="77777777" w:rsidR="00DF71C1" w:rsidRPr="00A200DA" w:rsidRDefault="00DF71C1" w:rsidP="00DF71C1">
      <w:pPr>
        <w:spacing w:line="276" w:lineRule="auto"/>
      </w:pPr>
      <w:r w:rsidRPr="004A2DDE">
        <w:t xml:space="preserve">These pillars reinforce the relevance of the needs identified by </w:t>
      </w:r>
      <w:r w:rsidRPr="004A2DDE">
        <w:rPr>
          <w:b/>
          <w:bCs/>
        </w:rPr>
        <w:t>Romania's 2021-2027 Partnership Agreement</w:t>
      </w:r>
      <w:r w:rsidRPr="00A200DA">
        <w:rPr>
          <w:rStyle w:val="FootnoteReference"/>
        </w:rPr>
        <w:footnoteReference w:id="4"/>
      </w:r>
      <w:r w:rsidRPr="004A2DDE">
        <w:t>, which foresees the need to accelerate investments in the RDI sector, ensure technological transfer and cooperation between the business environment and RDI, the implementation of new technologies for industrial expansion and modernization and highlights the need of transition to a sustainable and digital economy. At the same time, in the context of the threats generated by climate change, the European Green Deal reinforces the need to transform the EU into a modern, competitive and efficient economy from the point of view of the use of resources. Against this background, the use of innovative and ecological technologies, the development of products with a longer lifespan and a resilient industry, competitive on the world stage, become priorities for the next period.</w:t>
      </w:r>
    </w:p>
    <w:p w14:paraId="4AF4291D" w14:textId="77777777" w:rsidR="00DF71C1" w:rsidRPr="00A200DA" w:rsidRDefault="00DF71C1" w:rsidP="00DF71C1">
      <w:pPr>
        <w:spacing w:line="276" w:lineRule="auto"/>
        <w:rPr>
          <w:bCs/>
          <w:szCs w:val="22"/>
        </w:rPr>
      </w:pPr>
      <w:r w:rsidRPr="006E4D0D">
        <w:rPr>
          <w:bCs/>
          <w:szCs w:val="22"/>
        </w:rPr>
        <w:t xml:space="preserve">At national level, the </w:t>
      </w:r>
      <w:r w:rsidRPr="006E4D0D">
        <w:rPr>
          <w:b/>
          <w:szCs w:val="22"/>
        </w:rPr>
        <w:t>National Competitiveness Strategy 2021-2027</w:t>
      </w:r>
      <w:r w:rsidRPr="00A200DA">
        <w:rPr>
          <w:rStyle w:val="FootnoteReference"/>
        </w:rPr>
        <w:footnoteReference w:id="5"/>
      </w:r>
      <w:r w:rsidRPr="006E4D0D">
        <w:rPr>
          <w:bCs/>
          <w:szCs w:val="22"/>
        </w:rPr>
        <w:t xml:space="preserve"> was developed, in correlation with the needs identified by the Partnership Agreement and with the various funding programs and other national strategies. The three strategic objectives proposed by the SCS are related to: 1) Industrial modernization of enterprises, 2) Supporting the digital transformation process (Industry 4.0) and 3) </w:t>
      </w:r>
      <w:r w:rsidRPr="006E4D0D">
        <w:rPr>
          <w:bCs/>
          <w:szCs w:val="22"/>
        </w:rPr>
        <w:lastRenderedPageBreak/>
        <w:t>Increasing the institutional capacity for the implementation of national public policies with an impact on competitiveness.</w:t>
      </w:r>
    </w:p>
    <w:p w14:paraId="13DA0A7D" w14:textId="77777777" w:rsidR="00DF71C1" w:rsidRPr="00A200DA" w:rsidRDefault="00DF71C1" w:rsidP="00DF71C1">
      <w:pPr>
        <w:pStyle w:val="NormalWeb"/>
        <w:spacing w:before="0" w:beforeAutospacing="0" w:after="120" w:afterAutospacing="0" w:line="276" w:lineRule="auto"/>
        <w:jc w:val="both"/>
        <w:rPr>
          <w:rFonts w:ascii="Calibri" w:hAnsi="Calibri" w:cs="Calibri"/>
          <w:sz w:val="22"/>
          <w:szCs w:val="22"/>
          <w:lang w:val="en-US"/>
        </w:rPr>
      </w:pPr>
      <w:r w:rsidRPr="00896AC3">
        <w:rPr>
          <w:rFonts w:ascii="Calibri" w:hAnsi="Calibri" w:cs="Calibri"/>
          <w:sz w:val="22"/>
          <w:szCs w:val="22"/>
          <w:lang w:val="en-US"/>
        </w:rPr>
        <w:t xml:space="preserve">At the same time, the </w:t>
      </w:r>
      <w:r w:rsidRPr="00896AC3">
        <w:rPr>
          <w:rFonts w:ascii="Calibri" w:hAnsi="Calibri" w:cs="Calibri"/>
          <w:b/>
          <w:bCs/>
          <w:sz w:val="22"/>
          <w:szCs w:val="22"/>
          <w:lang w:val="en-US"/>
        </w:rPr>
        <w:t>National Strategy for Research, Innovation and Intelligent Specialization 2022-2027</w:t>
      </w:r>
      <w:r w:rsidRPr="00A200DA">
        <w:rPr>
          <w:rStyle w:val="FootnoteReference"/>
          <w:rFonts w:ascii="Calibri" w:hAnsi="Calibri" w:cs="Calibri"/>
          <w:sz w:val="22"/>
          <w:szCs w:val="22"/>
          <w:lang w:val="en-US"/>
        </w:rPr>
        <w:footnoteReference w:id="6"/>
      </w:r>
      <w:r w:rsidRPr="00896AC3">
        <w:rPr>
          <w:rFonts w:ascii="Calibri" w:hAnsi="Calibri" w:cs="Calibri"/>
          <w:sz w:val="22"/>
          <w:szCs w:val="22"/>
          <w:lang w:val="en-US"/>
        </w:rPr>
        <w:t xml:space="preserve"> sets the vision for 2030 and the targets in terms of the number of researchers and graduates of doctoral studies, the number of innovative enterprises, as well as regarding internationalization and research collaboration. The RDI sector is in close correlation with the economy's ability to generate added value and increase its competitiveness, but currently this sector is underfunded and lags significantly behind the European Union average. Moreover, the strategy also foresees the fields of intelligent specialization, with the potential to produce driving effects in the economy and society and for which the national dimension of collaboration is important: Bioeconomy, Digital economy and space technologies, Energy and mobility, manufacturing and advanced functional materials, environment and eco-technologies, health.</w:t>
      </w:r>
    </w:p>
    <w:p w14:paraId="2ED125CB" w14:textId="77777777" w:rsidR="00DF71C1" w:rsidRPr="00A200DA" w:rsidRDefault="00DF71C1" w:rsidP="00DF71C1">
      <w:pPr>
        <w:spacing w:line="276" w:lineRule="auto"/>
        <w:rPr>
          <w:szCs w:val="22"/>
        </w:rPr>
      </w:pPr>
      <w:r w:rsidRPr="00D91908">
        <w:rPr>
          <w:szCs w:val="22"/>
        </w:rPr>
        <w:t xml:space="preserve">At regional level, the </w:t>
      </w:r>
      <w:r w:rsidRPr="00D91908">
        <w:rPr>
          <w:b/>
          <w:bCs/>
          <w:szCs w:val="22"/>
        </w:rPr>
        <w:t xml:space="preserve">Regional Development Plan of the South-West </w:t>
      </w:r>
      <w:proofErr w:type="spellStart"/>
      <w:r w:rsidRPr="00D91908">
        <w:rPr>
          <w:b/>
          <w:bCs/>
          <w:szCs w:val="22"/>
        </w:rPr>
        <w:t>Oltenia</w:t>
      </w:r>
      <w:proofErr w:type="spellEnd"/>
      <w:r w:rsidRPr="00D91908">
        <w:rPr>
          <w:b/>
          <w:bCs/>
          <w:szCs w:val="22"/>
        </w:rPr>
        <w:t xml:space="preserve"> Region 2021-2027</w:t>
      </w:r>
      <w:r w:rsidRPr="00A200DA">
        <w:rPr>
          <w:rStyle w:val="FootnoteReference"/>
          <w:szCs w:val="22"/>
        </w:rPr>
        <w:footnoteReference w:id="7"/>
      </w:r>
      <w:r w:rsidRPr="00D91908">
        <w:rPr>
          <w:szCs w:val="22"/>
        </w:rPr>
        <w:t xml:space="preserve"> is the main programmatic document, which integrates all existing strategies and policies from different fields of activity. The context indicators place the SW </w:t>
      </w:r>
      <w:proofErr w:type="spellStart"/>
      <w:r w:rsidRPr="00D91908">
        <w:rPr>
          <w:szCs w:val="22"/>
        </w:rPr>
        <w:t>Oltenia</w:t>
      </w:r>
      <w:proofErr w:type="spellEnd"/>
      <w:r w:rsidRPr="00D91908">
        <w:rPr>
          <w:szCs w:val="22"/>
        </w:rPr>
        <w:t xml:space="preserve"> region among the last regions of Romania, in terms of development. Moreover, the region occupies the last position in the national ranking regarding Gross GDP and the penultimate position in the case of GDP per capita, the values ​​of foreign direct investments are below the national average, and the region registers only 7% of the economic units active in the country and contributes with 7.66% from the national gross added value. The region's situation is also captured in the </w:t>
      </w:r>
      <w:r w:rsidRPr="007756CF">
        <w:rPr>
          <w:b/>
          <w:bCs/>
          <w:szCs w:val="22"/>
        </w:rPr>
        <w:t>European Innovation Scoreboard</w:t>
      </w:r>
      <w:r w:rsidRPr="00A200DA">
        <w:rPr>
          <w:rStyle w:val="FootnoteReference"/>
          <w:b/>
          <w:bCs/>
          <w:szCs w:val="22"/>
        </w:rPr>
        <w:footnoteReference w:id="8"/>
      </w:r>
      <w:r w:rsidRPr="00D91908">
        <w:rPr>
          <w:szCs w:val="22"/>
        </w:rPr>
        <w:t xml:space="preserve">, most of the indicators being far below the EU average: higher education, digital skills, RDI expenditure (public and private sector), applications for patents and brevets, innovative SMEs etc. Moreover, the study ranks the SW </w:t>
      </w:r>
      <w:proofErr w:type="spellStart"/>
      <w:r w:rsidRPr="00D91908">
        <w:rPr>
          <w:szCs w:val="22"/>
        </w:rPr>
        <w:t>Oltenia</w:t>
      </w:r>
      <w:proofErr w:type="spellEnd"/>
      <w:r w:rsidRPr="00D91908">
        <w:rPr>
          <w:szCs w:val="22"/>
        </w:rPr>
        <w:t xml:space="preserve"> Region in the 7th position at national level. Thus, the development plan sets as its main objective the reduction of the disparity compared to the other regions of the country and foresees the increase of regional competitiveness through the development of the RDI sector, intelligent specialization, digitization, human resources and the modernization of the existing infrastructure.</w:t>
      </w:r>
    </w:p>
    <w:p w14:paraId="28A3A20E" w14:textId="77777777" w:rsidR="00DF71C1" w:rsidRPr="00A200DA" w:rsidRDefault="00DF71C1" w:rsidP="00DF71C1">
      <w:pPr>
        <w:spacing w:line="276" w:lineRule="auto"/>
        <w:rPr>
          <w:szCs w:val="22"/>
        </w:rPr>
      </w:pPr>
      <w:r w:rsidRPr="00B33083">
        <w:rPr>
          <w:szCs w:val="22"/>
        </w:rPr>
        <w:t xml:space="preserve">In addition, the </w:t>
      </w:r>
      <w:r w:rsidRPr="00B33083">
        <w:rPr>
          <w:b/>
          <w:bCs/>
          <w:szCs w:val="22"/>
        </w:rPr>
        <w:t xml:space="preserve">Regional Strategy for Intelligent Specialization RIS3 South-West </w:t>
      </w:r>
      <w:proofErr w:type="spellStart"/>
      <w:r w:rsidRPr="00B33083">
        <w:rPr>
          <w:b/>
          <w:bCs/>
          <w:szCs w:val="22"/>
        </w:rPr>
        <w:t>Oltenia</w:t>
      </w:r>
      <w:proofErr w:type="spellEnd"/>
      <w:r w:rsidRPr="00B33083">
        <w:rPr>
          <w:b/>
          <w:bCs/>
          <w:szCs w:val="22"/>
        </w:rPr>
        <w:t xml:space="preserve"> 2021-2027</w:t>
      </w:r>
      <w:r w:rsidRPr="00A200DA">
        <w:rPr>
          <w:rStyle w:val="FootnoteReference"/>
          <w:szCs w:val="22"/>
        </w:rPr>
        <w:footnoteReference w:id="9"/>
      </w:r>
      <w:r>
        <w:rPr>
          <w:szCs w:val="22"/>
        </w:rPr>
        <w:t xml:space="preserve"> </w:t>
      </w:r>
      <w:r w:rsidRPr="00B33083">
        <w:rPr>
          <w:szCs w:val="22"/>
        </w:rPr>
        <w:t xml:space="preserve">establishes those areas that have high potential to bring greater added value in the coming period, the document identifying the following areas of intelligent specialization: transport systems, industrial </w:t>
      </w:r>
      <w:r w:rsidRPr="00B33083">
        <w:rPr>
          <w:szCs w:val="22"/>
        </w:rPr>
        <w:lastRenderedPageBreak/>
        <w:t>engineering and materials, agri-food, health and wellness, ITC and Digitization, Creative Industries and the green and circular economy (as a cross-cutting field).</w:t>
      </w:r>
    </w:p>
    <w:p w14:paraId="2659B40E" w14:textId="77777777" w:rsidR="00B778E7" w:rsidRPr="007E14FF" w:rsidRDefault="00B778E7" w:rsidP="00B778E7">
      <w:pPr>
        <w:spacing w:line="276" w:lineRule="auto"/>
        <w:rPr>
          <w:b/>
          <w:szCs w:val="22"/>
        </w:rPr>
      </w:pPr>
    </w:p>
    <w:p w14:paraId="5A5D4564" w14:textId="30875701" w:rsidR="00B778E7" w:rsidRPr="007E14FF" w:rsidRDefault="0040658F" w:rsidP="0040658F">
      <w:pPr>
        <w:spacing w:line="276" w:lineRule="auto"/>
        <w:rPr>
          <w:szCs w:val="22"/>
        </w:rPr>
      </w:pPr>
      <w:r w:rsidRPr="00A200DA">
        <w:rPr>
          <w:b/>
          <w:bCs/>
          <w:szCs w:val="22"/>
        </w:rPr>
        <w:t>Priorit</w:t>
      </w:r>
      <w:r>
        <w:rPr>
          <w:b/>
          <w:bCs/>
          <w:szCs w:val="22"/>
        </w:rPr>
        <w:t>y</w:t>
      </w:r>
      <w:r w:rsidRPr="00A200DA">
        <w:rPr>
          <w:b/>
          <w:bCs/>
          <w:szCs w:val="22"/>
        </w:rPr>
        <w:t xml:space="preserve"> 2: </w:t>
      </w:r>
      <w:r w:rsidRPr="00001119">
        <w:rPr>
          <w:b/>
          <w:bCs/>
          <w:szCs w:val="22"/>
        </w:rPr>
        <w:t>Digitization for the benefit of citizens and companies</w:t>
      </w:r>
    </w:p>
    <w:p w14:paraId="0488C2D5" w14:textId="77777777" w:rsidR="00D6219E" w:rsidRPr="00A200DA" w:rsidRDefault="00D6219E" w:rsidP="00D6219E">
      <w:pPr>
        <w:pStyle w:val="NormalNumberedPara"/>
        <w:numPr>
          <w:ilvl w:val="0"/>
          <w:numId w:val="0"/>
        </w:numPr>
        <w:rPr>
          <w:lang w:val="en-US"/>
        </w:rPr>
      </w:pPr>
      <w:r w:rsidRPr="009B3305">
        <w:rPr>
          <w:lang w:val="en-US"/>
        </w:rPr>
        <w:t>At the European level, digital development has received more and more attention, through the various European policies: "A Strategy for Europe's Digital Single Market"</w:t>
      </w:r>
      <w:r w:rsidRPr="00A200DA">
        <w:rPr>
          <w:rStyle w:val="FootnoteReference"/>
          <w:lang w:val="en-US"/>
        </w:rPr>
        <w:footnoteReference w:id="10"/>
      </w:r>
      <w:r w:rsidRPr="009B3305">
        <w:rPr>
          <w:lang w:val="en-US"/>
        </w:rPr>
        <w:t xml:space="preserve"> starting 2014 and "Shaping Europe's Digital Future"</w:t>
      </w:r>
      <w:r w:rsidRPr="00A200DA">
        <w:rPr>
          <w:rStyle w:val="FootnoteReference"/>
          <w:lang w:val="en-US"/>
        </w:rPr>
        <w:footnoteReference w:id="11"/>
      </w:r>
      <w:r w:rsidRPr="009B3305">
        <w:rPr>
          <w:lang w:val="en-US"/>
        </w:rPr>
        <w:t xml:space="preserve"> starting 2020. Starting 2021, against the backdrop of the impact generated by the COVID-19 pandemic on European society, the European Commission updated its priorities until 2030 through the Communication "Digital Compass 2030: the European path to the digital decade'</w:t>
      </w:r>
      <w:r w:rsidRPr="00A200DA">
        <w:rPr>
          <w:rStyle w:val="FootnoteReference"/>
          <w:b/>
          <w:bCs/>
          <w:lang w:val="en-US"/>
        </w:rPr>
        <w:footnoteReference w:id="12"/>
      </w:r>
      <w:r w:rsidRPr="009B3305">
        <w:rPr>
          <w:lang w:val="en-US"/>
        </w:rPr>
        <w:t>: this strategy sets out a program of political reform, including legislative proposals in several areas and an unprecedented financial effort, including the provision that a minimum of 20% of the Recovery and Resilience Mechanism should be allocated to digital transformation. The "Compass" is based on four cardinal points, with the following objectives for 2030:</w:t>
      </w:r>
    </w:p>
    <w:p w14:paraId="0DA70FF1" w14:textId="77777777" w:rsidR="00D6219E" w:rsidRPr="00A200DA" w:rsidRDefault="00D6219E" w:rsidP="00D6219E">
      <w:pPr>
        <w:pStyle w:val="NormalNumberedPara"/>
        <w:numPr>
          <w:ilvl w:val="0"/>
          <w:numId w:val="27"/>
        </w:numPr>
        <w:spacing w:after="0"/>
        <w:ind w:left="646" w:hanging="357"/>
        <w:rPr>
          <w:lang w:val="en-US"/>
        </w:rPr>
      </w:pPr>
      <w:r>
        <w:rPr>
          <w:lang w:val="en-US"/>
        </w:rPr>
        <w:t>C</w:t>
      </w:r>
      <w:r w:rsidRPr="00F85609">
        <w:rPr>
          <w:lang w:val="en-US"/>
        </w:rPr>
        <w:t>ompetences</w:t>
      </w:r>
      <w:r w:rsidRPr="00A200DA">
        <w:rPr>
          <w:lang w:val="en-US"/>
        </w:rPr>
        <w:t xml:space="preserve">: </w:t>
      </w:r>
      <w:r w:rsidRPr="004E00F2">
        <w:rPr>
          <w:lang w:val="en-US"/>
        </w:rPr>
        <w:t>at least 80% of adults should have basic digital skills, there should be 20 million ICT professionals employed in the EU and more women should occupy such jobs</w:t>
      </w:r>
      <w:r w:rsidRPr="00A200DA">
        <w:rPr>
          <w:lang w:val="en-US"/>
        </w:rPr>
        <w:t>;</w:t>
      </w:r>
    </w:p>
    <w:p w14:paraId="5D1B4A9E" w14:textId="77777777" w:rsidR="00D6219E" w:rsidRPr="00A200DA" w:rsidRDefault="00D6219E" w:rsidP="00D6219E">
      <w:pPr>
        <w:pStyle w:val="NormalNumberedPara"/>
        <w:numPr>
          <w:ilvl w:val="0"/>
          <w:numId w:val="27"/>
        </w:numPr>
        <w:spacing w:after="0"/>
        <w:ind w:left="646" w:hanging="357"/>
        <w:rPr>
          <w:lang w:val="en-US"/>
        </w:rPr>
      </w:pPr>
      <w:r w:rsidRPr="00A71270">
        <w:rPr>
          <w:lang w:val="en-US"/>
        </w:rPr>
        <w:t>Enterprises</w:t>
      </w:r>
      <w:r w:rsidRPr="00A200DA">
        <w:rPr>
          <w:lang w:val="en-US"/>
        </w:rPr>
        <w:t xml:space="preserve">: </w:t>
      </w:r>
      <w:r w:rsidRPr="00DE5DCC">
        <w:rPr>
          <w:lang w:val="en-US"/>
        </w:rPr>
        <w:t>75% of firms should use cloud computing, big data and AI services; more than 90% of small and medium-sized enterprises in the EU should reach at least a basic level of digital intensity; the number of unicorn start-ups (high-value start-ups) in the EU should double</w:t>
      </w:r>
      <w:r w:rsidRPr="00A200DA">
        <w:rPr>
          <w:lang w:val="en-US"/>
        </w:rPr>
        <w:t>;</w:t>
      </w:r>
    </w:p>
    <w:p w14:paraId="7B0A86D5" w14:textId="77777777" w:rsidR="00D6219E" w:rsidRPr="00A200DA" w:rsidRDefault="00D6219E" w:rsidP="00D6219E">
      <w:pPr>
        <w:pStyle w:val="NormalNumberedPara"/>
        <w:numPr>
          <w:ilvl w:val="0"/>
          <w:numId w:val="27"/>
        </w:numPr>
        <w:spacing w:after="0"/>
        <w:ind w:left="646" w:hanging="357"/>
        <w:rPr>
          <w:lang w:val="en-US"/>
        </w:rPr>
      </w:pPr>
      <w:r w:rsidRPr="00A200DA">
        <w:rPr>
          <w:lang w:val="en-US"/>
        </w:rPr>
        <w:t>Infrastructu</w:t>
      </w:r>
      <w:r>
        <w:rPr>
          <w:lang w:val="en-US"/>
        </w:rPr>
        <w:t>re</w:t>
      </w:r>
      <w:r w:rsidRPr="00A200DA">
        <w:rPr>
          <w:lang w:val="en-US"/>
        </w:rPr>
        <w:t xml:space="preserve">: </w:t>
      </w:r>
      <w:r w:rsidRPr="00F465A1">
        <w:rPr>
          <w:lang w:val="en-US"/>
        </w:rPr>
        <w:t>all EU households should have gigabit connectivity and all populated areas should be covered by 5G technology; Europe's next-generation and sustainable semiconductor production should account for 20% of global production; 10000 highly secure and climate-neutral peripheral nodes should be deployed in the EU and Europe should have its first quantum computer</w:t>
      </w:r>
      <w:r w:rsidRPr="00A200DA">
        <w:rPr>
          <w:lang w:val="en-US"/>
        </w:rPr>
        <w:t>;</w:t>
      </w:r>
    </w:p>
    <w:p w14:paraId="5DE387BF" w14:textId="77777777" w:rsidR="00D6219E" w:rsidRPr="00A200DA" w:rsidRDefault="00D6219E" w:rsidP="00D6219E">
      <w:pPr>
        <w:pStyle w:val="NormalNumberedPara"/>
        <w:numPr>
          <w:ilvl w:val="0"/>
          <w:numId w:val="27"/>
        </w:numPr>
        <w:rPr>
          <w:lang w:val="en-US"/>
        </w:rPr>
      </w:pPr>
      <w:r>
        <w:rPr>
          <w:lang w:val="en-US"/>
        </w:rPr>
        <w:t>Public services</w:t>
      </w:r>
      <w:r w:rsidRPr="00A200DA">
        <w:rPr>
          <w:lang w:val="en-US"/>
        </w:rPr>
        <w:t xml:space="preserve">: </w:t>
      </w:r>
      <w:r w:rsidRPr="00B60E0A">
        <w:rPr>
          <w:lang w:val="en-US"/>
        </w:rPr>
        <w:t>all essential public services should be available online; all citizens should have access to their electronic medical records and 80% of citizens should use an electronic identity solution</w:t>
      </w:r>
      <w:r w:rsidRPr="00A200DA">
        <w:rPr>
          <w:lang w:val="en-US"/>
        </w:rPr>
        <w:t>.</w:t>
      </w:r>
    </w:p>
    <w:p w14:paraId="7CDB99A7" w14:textId="77777777" w:rsidR="00D6219E" w:rsidRPr="00A200DA" w:rsidRDefault="00D6219E" w:rsidP="00D6219E">
      <w:pPr>
        <w:pStyle w:val="NormalNumberedPara"/>
        <w:numPr>
          <w:ilvl w:val="0"/>
          <w:numId w:val="0"/>
        </w:numPr>
        <w:rPr>
          <w:lang w:val="en-US"/>
        </w:rPr>
      </w:pPr>
      <w:r w:rsidRPr="004E3882">
        <w:rPr>
          <w:lang w:val="en-US"/>
        </w:rPr>
        <w:lastRenderedPageBreak/>
        <w:t xml:space="preserve">At the national level, the </w:t>
      </w:r>
      <w:r w:rsidRPr="004E3882">
        <w:rPr>
          <w:b/>
          <w:bCs/>
          <w:lang w:val="en-US"/>
        </w:rPr>
        <w:t>Partnership Agreement</w:t>
      </w:r>
      <w:r w:rsidRPr="00A200DA">
        <w:rPr>
          <w:rStyle w:val="FootnoteReference"/>
          <w:lang w:val="en-US"/>
        </w:rPr>
        <w:footnoteReference w:id="13"/>
      </w:r>
      <w:r w:rsidRPr="004E3882">
        <w:rPr>
          <w:lang w:val="en-US"/>
        </w:rPr>
        <w:t xml:space="preserve"> establishes the main directions of intervention for the 2021-2027 period, supporting the strengthening of digital culture, the use of cloud systems and the integration of e-government applications in the Smart City concept.</w:t>
      </w:r>
    </w:p>
    <w:p w14:paraId="0FA291C2" w14:textId="77777777" w:rsidR="00D6219E" w:rsidRPr="00A200DA" w:rsidRDefault="00D6219E" w:rsidP="00D6219E">
      <w:pPr>
        <w:spacing w:line="276" w:lineRule="auto"/>
        <w:rPr>
          <w:szCs w:val="22"/>
        </w:rPr>
      </w:pPr>
      <w:r w:rsidRPr="00084287">
        <w:rPr>
          <w:szCs w:val="22"/>
        </w:rPr>
        <w:t xml:space="preserve">According to the </w:t>
      </w:r>
      <w:r w:rsidRPr="00084287">
        <w:rPr>
          <w:b/>
          <w:bCs/>
          <w:szCs w:val="22"/>
        </w:rPr>
        <w:t>digital economy and society index</w:t>
      </w:r>
      <w:r w:rsidRPr="00A200DA">
        <w:rPr>
          <w:rStyle w:val="FootnoteReference"/>
          <w:b/>
          <w:bCs/>
        </w:rPr>
        <w:footnoteReference w:id="14"/>
      </w:r>
      <w:r w:rsidRPr="00084287">
        <w:rPr>
          <w:szCs w:val="22"/>
        </w:rPr>
        <w:t xml:space="preserve"> (DESI 2022) and the information published in the Country Report 2024</w:t>
      </w:r>
      <w:r w:rsidRPr="00A200DA">
        <w:rPr>
          <w:rStyle w:val="FootnoteReference"/>
          <w:b/>
          <w:bCs/>
        </w:rPr>
        <w:footnoteReference w:id="15"/>
      </w:r>
      <w:r w:rsidRPr="00084287">
        <w:rPr>
          <w:szCs w:val="22"/>
        </w:rPr>
        <w:t>, Romania is in the last positions in the European ranking, with a lower relative annual growth, which indicates a deepening of the gap with the other member states. Moreover, despite relatively good results (above the EU average) in terms of high-speed fixed-band connectivity, the adoption of 5G technologies is slow and the digitization of public services is still at a low level (the use of cloud services, e-government and telemedicine services). Also, a more accelerated adoption of e-commerce/e-invoicing by the SME sector is suggested, as well as the use of big data analytics and cloud services.</w:t>
      </w:r>
    </w:p>
    <w:p w14:paraId="6ABE7D24" w14:textId="77777777" w:rsidR="00D6219E" w:rsidRPr="00A200DA" w:rsidRDefault="00D6219E" w:rsidP="00D6219E">
      <w:pPr>
        <w:spacing w:line="276" w:lineRule="auto"/>
      </w:pPr>
      <w:r w:rsidRPr="000E1EAB">
        <w:t>At the same time, in recent years, other strategic documents have been approved, which establish specific national priorities for digitization for the 2021-2027 period: The proposal for public policy in the field of e-government, developed in 2021 by the National Authority for the Digitization of Romania, the Governmental Strategy for the development of the SMEs sector and the improvement of the business environment in Romania towards a digital and data economy, for the period 2021-2027. Both directives provide for the development of digital public services for citizens and businesses, the development of digital skills and the stimulation of investments in cyber security.</w:t>
      </w:r>
    </w:p>
    <w:p w14:paraId="763E0C91" w14:textId="60ACC0B7" w:rsidR="00B778E7" w:rsidRPr="007E14FF" w:rsidRDefault="00D6219E" w:rsidP="00D6219E">
      <w:pPr>
        <w:spacing w:after="240" w:line="276" w:lineRule="auto"/>
        <w:rPr>
          <w:szCs w:val="22"/>
        </w:rPr>
      </w:pPr>
      <w:r w:rsidRPr="00301E9F">
        <w:rPr>
          <w:szCs w:val="22"/>
        </w:rPr>
        <w:t xml:space="preserve">At regional level, both the </w:t>
      </w:r>
      <w:r w:rsidRPr="00301E9F">
        <w:rPr>
          <w:b/>
          <w:bCs/>
          <w:szCs w:val="22"/>
        </w:rPr>
        <w:t>Regional Development Plan</w:t>
      </w:r>
      <w:r w:rsidRPr="00A200DA">
        <w:rPr>
          <w:rStyle w:val="FootnoteReference"/>
          <w:szCs w:val="22"/>
        </w:rPr>
        <w:footnoteReference w:id="16"/>
      </w:r>
      <w:r w:rsidRPr="00301E9F">
        <w:rPr>
          <w:szCs w:val="22"/>
        </w:rPr>
        <w:t xml:space="preserve"> and the </w:t>
      </w:r>
      <w:r w:rsidRPr="00301E9F">
        <w:rPr>
          <w:b/>
          <w:bCs/>
          <w:szCs w:val="22"/>
        </w:rPr>
        <w:t>RIS3 Strategy</w:t>
      </w:r>
      <w:r w:rsidRPr="00A200DA">
        <w:rPr>
          <w:rStyle w:val="FootnoteReference"/>
          <w:szCs w:val="22"/>
        </w:rPr>
        <w:footnoteReference w:id="17"/>
      </w:r>
      <w:r w:rsidRPr="00301E9F">
        <w:rPr>
          <w:szCs w:val="22"/>
        </w:rPr>
        <w:t xml:space="preserve"> foresee investments in the digitization of the public and private environment. The digitization of public services is non-unitary and uneven, and the IT system of public administrations is fragmented in terms of interoperability. All these are caused by the lack of budgetary resources of local administrations and technical capacity to integrate such solutions.</w:t>
      </w:r>
      <w:r w:rsidRPr="00A200DA">
        <w:rPr>
          <w:szCs w:val="22"/>
        </w:rPr>
        <w:t xml:space="preserve"> </w:t>
      </w:r>
      <w:r w:rsidRPr="00DC2203">
        <w:rPr>
          <w:szCs w:val="22"/>
        </w:rPr>
        <w:t>Compared to the private sector, the information and communication technology industry has experienced a positive evolution in recent years from the perspective of the number of active local units, the turnover generated and the number of employees. At the same time, the region's potential is also seen through the lens of large regional industries, such as vehicle production, energy and agri-food, which still require investment in the development of specialized software. For these reasons, ICT and Digitization is selected as one of the pillars of intelligent specialization for the current period, aiming at the development of Smart City, Smart Village, innovative products in the field of IT and digitalization of the economy.</w:t>
      </w:r>
    </w:p>
    <w:p w14:paraId="45750E43" w14:textId="64D55F39" w:rsidR="00B778E7" w:rsidRPr="007E14FF" w:rsidRDefault="00316C36" w:rsidP="00316C36">
      <w:pPr>
        <w:rPr>
          <w:b/>
          <w:bCs/>
        </w:rPr>
      </w:pPr>
      <w:r w:rsidRPr="00A200DA">
        <w:rPr>
          <w:b/>
          <w:bCs/>
        </w:rPr>
        <w:lastRenderedPageBreak/>
        <w:t>Priorit</w:t>
      </w:r>
      <w:r>
        <w:rPr>
          <w:b/>
          <w:bCs/>
        </w:rPr>
        <w:t>y</w:t>
      </w:r>
      <w:r w:rsidRPr="00A200DA">
        <w:rPr>
          <w:b/>
          <w:bCs/>
        </w:rPr>
        <w:t xml:space="preserve"> 3:</w:t>
      </w:r>
      <w:r w:rsidRPr="00A200DA">
        <w:t xml:space="preserve"> </w:t>
      </w:r>
      <w:r w:rsidRPr="008151C0">
        <w:rPr>
          <w:b/>
          <w:bCs/>
        </w:rPr>
        <w:t>Energy efficiency and green infrastructure</w:t>
      </w:r>
    </w:p>
    <w:p w14:paraId="38B73D00" w14:textId="77777777" w:rsidR="00386B00" w:rsidRPr="00A200DA" w:rsidRDefault="00386B00" w:rsidP="00386B00">
      <w:pPr>
        <w:spacing w:line="276" w:lineRule="auto"/>
      </w:pPr>
      <w:r w:rsidRPr="00E4533C">
        <w:t xml:space="preserve">As a member state of the European Union, Romania is a signatory of the </w:t>
      </w:r>
      <w:r w:rsidRPr="00386B00">
        <w:rPr>
          <w:b/>
          <w:bCs/>
        </w:rPr>
        <w:t>European Green Deal</w:t>
      </w:r>
      <w:r w:rsidRPr="00E4533C">
        <w:t xml:space="preserve">, having established </w:t>
      </w:r>
      <w:proofErr w:type="spellStart"/>
      <w:r w:rsidRPr="00E4533C">
        <w:t>decarbonisation</w:t>
      </w:r>
      <w:proofErr w:type="spellEnd"/>
      <w:r w:rsidRPr="00E4533C">
        <w:t xml:space="preserve"> objectives and firm deadlines, intended to transform the EU into a modern, competitive and efficient economy from the point of view of resource use:</w:t>
      </w:r>
    </w:p>
    <w:p w14:paraId="68AC05FC" w14:textId="77777777" w:rsidR="00386B00" w:rsidRDefault="00386B00" w:rsidP="00386B00">
      <w:pPr>
        <w:pStyle w:val="ListParagraph"/>
        <w:numPr>
          <w:ilvl w:val="2"/>
          <w:numId w:val="25"/>
        </w:numPr>
        <w:spacing w:after="0" w:line="276" w:lineRule="auto"/>
        <w:ind w:left="521" w:hanging="181"/>
        <w:contextualSpacing w:val="0"/>
      </w:pPr>
      <w:r w:rsidRPr="0069497F">
        <w:t>reduction by 2030 of net GHG emissions by at least 55% compared to 1990 levels ("Prepare for 55");</w:t>
      </w:r>
    </w:p>
    <w:p w14:paraId="2A6E7E59" w14:textId="77777777" w:rsidR="00386B00" w:rsidRPr="0041688A" w:rsidRDefault="00386B00" w:rsidP="00386B00">
      <w:pPr>
        <w:pStyle w:val="ListParagraph"/>
        <w:numPr>
          <w:ilvl w:val="2"/>
          <w:numId w:val="25"/>
        </w:numPr>
        <w:spacing w:line="276" w:lineRule="auto"/>
        <w:ind w:left="521" w:hanging="181"/>
        <w:contextualSpacing w:val="0"/>
      </w:pPr>
      <w:r w:rsidRPr="0041688A">
        <w:t>achieving net zero GHG emissions by 2050 ("Carbon Neutrality").</w:t>
      </w:r>
    </w:p>
    <w:p w14:paraId="6BF1E217" w14:textId="77777777" w:rsidR="00386B00" w:rsidRPr="00A200DA" w:rsidRDefault="00386B00" w:rsidP="00386B00">
      <w:pPr>
        <w:spacing w:line="276" w:lineRule="auto"/>
        <w:rPr>
          <w:bCs/>
        </w:rPr>
      </w:pPr>
      <w:r w:rsidRPr="003B00EE">
        <w:rPr>
          <w:bCs/>
        </w:rPr>
        <w:t xml:space="preserve">In order to be able to reduce greenhouse gas emissions by at least 55% by 2030, it is necessary that the energy from renewable sources have a greater share in the energy mix and to ensure greater energy efficiency. In this context, in May 2022, the </w:t>
      </w:r>
      <w:proofErr w:type="spellStart"/>
      <w:r w:rsidRPr="003B00EE">
        <w:rPr>
          <w:bCs/>
        </w:rPr>
        <w:t>REPowerEU</w:t>
      </w:r>
      <w:proofErr w:type="spellEnd"/>
      <w:r w:rsidRPr="003B00EE">
        <w:rPr>
          <w:bCs/>
        </w:rPr>
        <w:t xml:space="preserve"> Plan was launched, which aims to support Member States in increasing the use of more types of energy from renewable sources, saving energy and diversifying energy supply sources.</w:t>
      </w:r>
    </w:p>
    <w:p w14:paraId="397B6A51" w14:textId="77777777" w:rsidR="00386B00" w:rsidRPr="00A200DA" w:rsidRDefault="00386B00" w:rsidP="00386B00">
      <w:pPr>
        <w:spacing w:line="276" w:lineRule="auto"/>
        <w:rPr>
          <w:bCs/>
        </w:rPr>
      </w:pPr>
      <w:r w:rsidRPr="00DD055D">
        <w:rPr>
          <w:bCs/>
        </w:rPr>
        <w:t xml:space="preserve">In March 2023, through the revised </w:t>
      </w:r>
      <w:r w:rsidRPr="00DD055D">
        <w:rPr>
          <w:b/>
        </w:rPr>
        <w:t>Renewable Energy Directive</w:t>
      </w:r>
      <w:r w:rsidRPr="00DD055D">
        <w:rPr>
          <w:bCs/>
        </w:rPr>
        <w:t>, the EU agreed on stricter legislation to increase its capacity to produce energy from renewable sources by increasing its mandatory minimum target for 2030 to 42.5%, against the previous target of 32%, with the ambition to reach 45%</w:t>
      </w:r>
      <w:r w:rsidRPr="00A200DA">
        <w:rPr>
          <w:bCs/>
        </w:rPr>
        <w:t>.</w:t>
      </w:r>
      <w:r w:rsidRPr="00A200DA">
        <w:rPr>
          <w:rStyle w:val="FootnoteReference"/>
          <w:bCs/>
        </w:rPr>
        <w:footnoteReference w:id="18"/>
      </w:r>
      <w:r w:rsidRPr="00A200DA">
        <w:rPr>
          <w:bCs/>
        </w:rPr>
        <w:t xml:space="preserve"> </w:t>
      </w:r>
    </w:p>
    <w:p w14:paraId="4EAA76DF" w14:textId="77777777" w:rsidR="00386B00" w:rsidRPr="00A200DA" w:rsidRDefault="00386B00" w:rsidP="00386B00">
      <w:pPr>
        <w:spacing w:line="276" w:lineRule="auto"/>
        <w:rPr>
          <w:szCs w:val="22"/>
        </w:rPr>
      </w:pPr>
      <w:r w:rsidRPr="00792FA4">
        <w:rPr>
          <w:bCs/>
        </w:rPr>
        <w:t xml:space="preserve">Also regarding the </w:t>
      </w:r>
      <w:r w:rsidRPr="00792FA4">
        <w:rPr>
          <w:b/>
        </w:rPr>
        <w:t>Energy Efficiency Directive</w:t>
      </w:r>
      <w:r w:rsidRPr="00792FA4">
        <w:rPr>
          <w:bCs/>
        </w:rPr>
        <w:t>, negotiators agreed on a new EU-wide target of improving energy efficiency by 11.7% by 2030</w:t>
      </w:r>
      <w:r w:rsidRPr="00A200DA">
        <w:rPr>
          <w:bCs/>
        </w:rPr>
        <w:t>.</w:t>
      </w:r>
      <w:r w:rsidRPr="00A200DA">
        <w:rPr>
          <w:rStyle w:val="FootnoteReference"/>
          <w:bCs/>
        </w:rPr>
        <w:footnoteReference w:id="19"/>
      </w:r>
      <w:r w:rsidRPr="00A200DA">
        <w:rPr>
          <w:bCs/>
        </w:rPr>
        <w:t xml:space="preserve"> </w:t>
      </w:r>
      <w:r w:rsidRPr="003544BA">
        <w:rPr>
          <w:bCs/>
        </w:rPr>
        <w:t>In this context, each Member State shall establish an indicative national contribution to energy efficiency, based on final energy consumption, with a view to collectively meeting the Union's binding target on final energy consumption and shall make efforts to contribute collectively to the indicative objective of the Union. Each Member State's contributions are notified to the Commission, together with an indicative trajectory for them, as part of updated versions of the Integrated National Energy and Climate Plans.</w:t>
      </w:r>
    </w:p>
    <w:p w14:paraId="7C9F33DB" w14:textId="77777777" w:rsidR="00386B00" w:rsidRPr="00A200DA" w:rsidRDefault="00386B00" w:rsidP="00386B00">
      <w:pPr>
        <w:spacing w:line="276" w:lineRule="auto"/>
        <w:rPr>
          <w:bCs/>
        </w:rPr>
      </w:pPr>
      <w:r w:rsidRPr="00DB3C8C">
        <w:rPr>
          <w:bCs/>
        </w:rPr>
        <w:t xml:space="preserve">At the national level, </w:t>
      </w:r>
      <w:r w:rsidRPr="00DB3C8C">
        <w:rPr>
          <w:b/>
        </w:rPr>
        <w:t>Romania's Energy Strategy 2025-2035, with the perspective of 2050</w:t>
      </w:r>
      <w:r w:rsidRPr="00A200DA">
        <w:rPr>
          <w:rStyle w:val="FootnoteReference"/>
          <w:b/>
        </w:rPr>
        <w:footnoteReference w:id="20"/>
      </w:r>
      <w:r w:rsidRPr="00DB3C8C">
        <w:rPr>
          <w:bCs/>
        </w:rPr>
        <w:t>, is a programmatic document that defines the vision and establishes the fundamental objectives of the development process of the energy sector, being developed in accordance with the legislative framework at the EU level in the field of energy and climate change presented, as well as with the programmatic documents in the field</w:t>
      </w:r>
      <w:r>
        <w:rPr>
          <w:bCs/>
        </w:rPr>
        <w:t>,</w:t>
      </w:r>
      <w:r w:rsidRPr="00DB3C8C">
        <w:rPr>
          <w:bCs/>
        </w:rPr>
        <w:t xml:space="preserve"> adopted at national level.</w:t>
      </w:r>
    </w:p>
    <w:p w14:paraId="02955984" w14:textId="77777777" w:rsidR="00386B00" w:rsidRPr="00A200DA" w:rsidRDefault="00386B00" w:rsidP="00386B00">
      <w:pPr>
        <w:spacing w:line="276" w:lineRule="auto"/>
        <w:rPr>
          <w:bCs/>
        </w:rPr>
      </w:pPr>
      <w:r w:rsidRPr="006807AA">
        <w:rPr>
          <w:bCs/>
        </w:rPr>
        <w:t xml:space="preserve">The data presented in the strategy show that efficiency in the energy sector increased from approximately 63% in 2011 to 74% in 2021, thus reaching the objectives set for 2020 in the National Action Plan in the </w:t>
      </w:r>
      <w:r w:rsidRPr="006807AA">
        <w:rPr>
          <w:bCs/>
        </w:rPr>
        <w:lastRenderedPageBreak/>
        <w:t>field of Energy Efficiency IV. According to the information presented in the strategy, the greatest potential for increasing energy efficiency in Romania is found in the heating of buildings, in the transformation of primary energy resources into electricity in thermoelectric plants, in the transport and distribution of electricity and natural gas, respectively in transport and in industry.</w:t>
      </w:r>
    </w:p>
    <w:p w14:paraId="3697C14B" w14:textId="77777777" w:rsidR="00386B00" w:rsidRPr="001B338D" w:rsidRDefault="00386B00" w:rsidP="00386B00">
      <w:pPr>
        <w:spacing w:line="276" w:lineRule="auto"/>
        <w:rPr>
          <w:szCs w:val="22"/>
        </w:rPr>
      </w:pPr>
      <w:r w:rsidRPr="00F63470">
        <w:rPr>
          <w:b/>
          <w:bCs/>
          <w:szCs w:val="22"/>
        </w:rPr>
        <w:t>The National Integrated Plan in the field of Energy and Climate Change (NIPECC)</w:t>
      </w:r>
      <w:r w:rsidRPr="00F63470">
        <w:rPr>
          <w:rStyle w:val="FootnoteReference"/>
          <w:b/>
        </w:rPr>
        <w:t xml:space="preserve"> </w:t>
      </w:r>
      <w:r w:rsidRPr="00A200DA">
        <w:rPr>
          <w:rStyle w:val="FootnoteReference"/>
          <w:b/>
        </w:rPr>
        <w:footnoteReference w:id="21"/>
      </w:r>
      <w:r w:rsidRPr="00BB35A0">
        <w:rPr>
          <w:bCs/>
        </w:rPr>
        <w:t>, a document that aligns national energy and climate priorities with EU objectives, confirms Romania's firm contribution to achieving community objectives and targets, addressing, at the same time, specific national challenges. The plan is structured along the following guidelines: the development of energy from renewable sources, the promotion of energy efficiency, the reduction of emissions, the just transition and the development of infrastructure.</w:t>
      </w:r>
    </w:p>
    <w:p w14:paraId="76DF37C2" w14:textId="77777777" w:rsidR="00386B00" w:rsidRPr="00A200DA" w:rsidRDefault="00386B00" w:rsidP="00386B00">
      <w:pPr>
        <w:spacing w:line="276" w:lineRule="auto"/>
        <w:rPr>
          <w:rFonts w:eastAsia="Times New Roman"/>
          <w:color w:val="000000" w:themeColor="text1"/>
          <w:szCs w:val="22"/>
        </w:rPr>
      </w:pPr>
      <w:r w:rsidRPr="00FA3CFB">
        <w:rPr>
          <w:rFonts w:eastAsia="Times New Roman"/>
          <w:color w:val="000000" w:themeColor="text1"/>
          <w:szCs w:val="22"/>
        </w:rPr>
        <w:t>By referring to the dimension of energy efficiency, the plan presents a series of initiatives aimed at increasing energy efficiency in all economic sectors. These measures include modernization of buildings to improve energy performance and modernization of industrial processes to minimize energy consumption.</w:t>
      </w:r>
    </w:p>
    <w:p w14:paraId="6C6AF254" w14:textId="77777777" w:rsidR="00386B00" w:rsidRPr="00A200DA" w:rsidRDefault="00386B00" w:rsidP="00386B00">
      <w:pPr>
        <w:spacing w:line="276" w:lineRule="auto"/>
        <w:rPr>
          <w:rFonts w:eastAsia="Times New Roman"/>
          <w:color w:val="000000" w:themeColor="text1"/>
          <w:szCs w:val="22"/>
        </w:rPr>
      </w:pPr>
      <w:r w:rsidRPr="00CB37FE">
        <w:rPr>
          <w:rFonts w:eastAsia="Times New Roman"/>
          <w:color w:val="000000" w:themeColor="text1"/>
          <w:szCs w:val="22"/>
        </w:rPr>
        <w:t xml:space="preserve">In the updated version of </w:t>
      </w:r>
      <w:r>
        <w:rPr>
          <w:rFonts w:eastAsia="Times New Roman"/>
          <w:color w:val="000000" w:themeColor="text1"/>
          <w:szCs w:val="22"/>
        </w:rPr>
        <w:t>NIPECC</w:t>
      </w:r>
      <w:r w:rsidRPr="00CB37FE">
        <w:rPr>
          <w:rFonts w:eastAsia="Times New Roman"/>
          <w:color w:val="000000" w:themeColor="text1"/>
          <w:szCs w:val="22"/>
        </w:rPr>
        <w:t>, on 16.09.2024, the target for primary energy consumption in Romania by 2030 was set at 30.2 Mtoe, according to the Energy Efficiency Directive (reforming).</w:t>
      </w:r>
      <w:r>
        <w:rPr>
          <w:rFonts w:eastAsia="Times New Roman"/>
          <w:color w:val="000000" w:themeColor="text1"/>
          <w:szCs w:val="22"/>
        </w:rPr>
        <w:t xml:space="preserve"> </w:t>
      </w:r>
      <w:r w:rsidRPr="00EE5098">
        <w:rPr>
          <w:rFonts w:eastAsia="Times New Roman"/>
          <w:color w:val="000000" w:themeColor="text1"/>
          <w:szCs w:val="22"/>
        </w:rPr>
        <w:t>The assumed forecasts regarding primary energy consumption indicate reaching a target of 28.7 Mtoe in 2030, below the target set by the Energy Efficiency Directive (reforming). The target of 28.7 Mtoe will mark a 9% decrease in primary energy consumption compared to 2022. Gross final energy consumption is also expected to decrease slightly</w:t>
      </w:r>
      <w:r>
        <w:rPr>
          <w:rFonts w:eastAsia="Times New Roman"/>
          <w:color w:val="000000" w:themeColor="text1"/>
          <w:szCs w:val="22"/>
        </w:rPr>
        <w:t>,</w:t>
      </w:r>
      <w:r w:rsidRPr="00EE5098">
        <w:rPr>
          <w:rFonts w:eastAsia="Times New Roman"/>
          <w:color w:val="000000" w:themeColor="text1"/>
          <w:szCs w:val="22"/>
        </w:rPr>
        <w:t xml:space="preserve"> by 6%</w:t>
      </w:r>
      <w:r>
        <w:rPr>
          <w:rFonts w:eastAsia="Times New Roman"/>
          <w:color w:val="000000" w:themeColor="text1"/>
          <w:szCs w:val="22"/>
        </w:rPr>
        <w:t>,</w:t>
      </w:r>
      <w:r w:rsidRPr="00EE5098">
        <w:rPr>
          <w:rFonts w:eastAsia="Times New Roman"/>
          <w:color w:val="000000" w:themeColor="text1"/>
          <w:szCs w:val="22"/>
        </w:rPr>
        <w:t xml:space="preserve"> in 2030 compared to 2022, without affecting productivity, complementary with measures to increase the share of energy produced from renewable sources, reaching an absolute value of 22.5 Mtoe in 2030 (this means that Romania will meet its target regarding final gross energy consumption set by the Energy Efficiency Directive (reforming), which is 22.47 Mtoe in 2030).</w:t>
      </w:r>
    </w:p>
    <w:p w14:paraId="5DDF6D3C" w14:textId="77777777" w:rsidR="00386B00" w:rsidRPr="00A200DA" w:rsidRDefault="00386B00" w:rsidP="00386B00">
      <w:pPr>
        <w:spacing w:line="276" w:lineRule="auto"/>
      </w:pPr>
      <w:r w:rsidRPr="004D71FC">
        <w:t xml:space="preserve">Romania's energy efficiency objectives for 2030 are to achieve a 51% reduction in primary energy consumption and 47% reduction in gross final energy consumption, without affecting productivity, a complementary target to the measures </w:t>
      </w:r>
      <w:r>
        <w:t>for increasing</w:t>
      </w:r>
      <w:r w:rsidRPr="004D71FC">
        <w:t xml:space="preserve"> the share of energy produced from RES in gross final energy consumption. By 2050, Romania aims to reduce primary energy consumption by 22% and gross final energy consumption by 28% compared to 2022 levels.</w:t>
      </w:r>
    </w:p>
    <w:p w14:paraId="5F6E8637" w14:textId="77777777" w:rsidR="00386B00" w:rsidRPr="00A200DA" w:rsidRDefault="00386B00" w:rsidP="00386B00">
      <w:pPr>
        <w:spacing w:line="276" w:lineRule="auto"/>
        <w:rPr>
          <w:rFonts w:eastAsia="Times New Roman"/>
        </w:rPr>
      </w:pPr>
      <w:r w:rsidRPr="005C4D29">
        <w:rPr>
          <w:rFonts w:eastAsia="Times New Roman"/>
          <w:b/>
          <w:bCs/>
        </w:rPr>
        <w:t>The country report for Romania from 2024</w:t>
      </w:r>
      <w:r w:rsidRPr="00A200DA">
        <w:rPr>
          <w:rStyle w:val="FootnoteReference"/>
          <w:rFonts w:eastAsia="Times New Roman"/>
          <w:b/>
          <w:bCs/>
        </w:rPr>
        <w:footnoteReference w:id="22"/>
      </w:r>
      <w:r w:rsidRPr="005C4D29">
        <w:rPr>
          <w:rFonts w:eastAsia="Times New Roman"/>
        </w:rPr>
        <w:t xml:space="preserve"> shows that, despite the measures taken at the national level to ensure energy efficiency, the renovations aimed at ensuring the energy efficiency of buildings must be accelerated further, being essential for Romania to remedy the financing deficits, to improve access to </w:t>
      </w:r>
      <w:r w:rsidRPr="005C4D29">
        <w:rPr>
          <w:rFonts w:eastAsia="Times New Roman"/>
        </w:rPr>
        <w:lastRenderedPageBreak/>
        <w:t>financing and resort to private investment for energy efficiency projects. The progress in this area will ultimately contribute to the country's national energy efficiency goals.</w:t>
      </w:r>
    </w:p>
    <w:p w14:paraId="2E1FC9A4" w14:textId="77777777" w:rsidR="00386B00" w:rsidRPr="00A200DA" w:rsidRDefault="00386B00" w:rsidP="00386B00">
      <w:pPr>
        <w:spacing w:line="276" w:lineRule="auto"/>
      </w:pPr>
      <w:r w:rsidRPr="004A53C4">
        <w:t>Data presented in the Country Report show that Romania has made significant progress in contributing to the EU's energy efficiency targets for 2030. In 2022, its primary energy consumption was 31.0 Mtoe, which represents a decrease of 6.3% compared to 2021 and a decrease of 6.8% compared to 2012. Its final energy consumption was 24.0 Mtoe, which represents a 5.3% decrease from 2021 and a 5.5% increase from 2012.</w:t>
      </w:r>
    </w:p>
    <w:p w14:paraId="1487745E" w14:textId="77777777" w:rsidR="00386B00" w:rsidRPr="00A200DA" w:rsidRDefault="00386B00" w:rsidP="00386B00">
      <w:pPr>
        <w:spacing w:line="276" w:lineRule="auto"/>
        <w:rPr>
          <w:bCs/>
        </w:rPr>
      </w:pPr>
      <w:r w:rsidRPr="002C20FA">
        <w:rPr>
          <w:bCs/>
        </w:rPr>
        <w:t xml:space="preserve">At territorial level, the </w:t>
      </w:r>
      <w:r w:rsidRPr="002C20FA">
        <w:rPr>
          <w:b/>
        </w:rPr>
        <w:t xml:space="preserve">Regional Development Plan of the South-West </w:t>
      </w:r>
      <w:proofErr w:type="spellStart"/>
      <w:r w:rsidRPr="002C20FA">
        <w:rPr>
          <w:b/>
        </w:rPr>
        <w:t>Oltenia</w:t>
      </w:r>
      <w:proofErr w:type="spellEnd"/>
      <w:r w:rsidRPr="002C20FA">
        <w:rPr>
          <w:b/>
        </w:rPr>
        <w:t xml:space="preserve"> Region 2021-2027</w:t>
      </w:r>
      <w:r w:rsidRPr="00A200DA">
        <w:rPr>
          <w:rStyle w:val="FootnoteReference"/>
          <w:bCs/>
        </w:rPr>
        <w:footnoteReference w:id="23"/>
      </w:r>
      <w:r w:rsidRPr="002C20FA">
        <w:rPr>
          <w:bCs/>
        </w:rPr>
        <w:t xml:space="preserve"> aims to improve energy efficiency in the public and private sector, through the following indicative actions in the field: rehabilitation and thermal modernization of existing buildings, as well as/or heating systems for heating the home and preparing domestic hot water, by using solar panels or other innovative elements; streamlining energy consumption by promoting renewable energy sources (including geothermal) and by streamlining traditional energy sources; Interventions at the level of external construction elements through expertise and measures to strengthen public buildings; utility metering at the building level; modernization of thermal utility production equipment; rehabilitation/extension and modernization of the public lighting system, including ambient lighting; rehabilitation/extension and modernization of electricity transmission and distribution networks.</w:t>
      </w:r>
    </w:p>
    <w:p w14:paraId="75E8C9BA" w14:textId="77777777" w:rsidR="00B778E7" w:rsidRPr="007E14FF" w:rsidRDefault="00B778E7" w:rsidP="00B778E7">
      <w:pPr>
        <w:spacing w:line="276" w:lineRule="auto"/>
        <w:rPr>
          <w:bCs/>
        </w:rPr>
      </w:pPr>
    </w:p>
    <w:p w14:paraId="7E8FEE49" w14:textId="3358C3BA" w:rsidR="00B778E7" w:rsidRPr="007E14FF" w:rsidRDefault="002E046E" w:rsidP="002E046E">
      <w:pPr>
        <w:rPr>
          <w:b/>
        </w:rPr>
      </w:pPr>
      <w:r w:rsidRPr="00A200DA">
        <w:rPr>
          <w:b/>
        </w:rPr>
        <w:t>Priorit</w:t>
      </w:r>
      <w:r>
        <w:rPr>
          <w:b/>
        </w:rPr>
        <w:t>y</w:t>
      </w:r>
      <w:r w:rsidRPr="00A200DA">
        <w:rPr>
          <w:b/>
        </w:rPr>
        <w:t xml:space="preserve"> 4: </w:t>
      </w:r>
      <w:r w:rsidRPr="00890607">
        <w:rPr>
          <w:b/>
        </w:rPr>
        <w:t>Sustainable urban mobility</w:t>
      </w:r>
    </w:p>
    <w:p w14:paraId="4CE47E8B" w14:textId="77777777" w:rsidR="000D1DBC" w:rsidRPr="00ED1A82" w:rsidRDefault="000D1DBC" w:rsidP="000D1DBC">
      <w:pPr>
        <w:spacing w:line="276" w:lineRule="auto"/>
        <w:rPr>
          <w:iCs/>
        </w:rPr>
      </w:pPr>
      <w:r w:rsidRPr="00ED1A82">
        <w:rPr>
          <w:iCs/>
        </w:rPr>
        <w:t xml:space="preserve">The analysis of European statistical data on the impact on the environment shows that greenhouse gas emissions, generated by the transport sector, represent approximately 25% of the total emissions at the EU level, the indicator showing an upward trend in recent years. To counter these effects, the European Commission has emphasized the need for ambitious changes in the field of transport, establishing, as an objective of the </w:t>
      </w:r>
      <w:r w:rsidRPr="00B6175F">
        <w:rPr>
          <w:b/>
          <w:bCs/>
          <w:iCs/>
        </w:rPr>
        <w:t>European Green Deal</w:t>
      </w:r>
      <w:r w:rsidRPr="00A200DA">
        <w:rPr>
          <w:rStyle w:val="FootnoteReference"/>
        </w:rPr>
        <w:footnoteReference w:id="24"/>
      </w:r>
      <w:r w:rsidRPr="00ED1A82">
        <w:rPr>
          <w:iCs/>
        </w:rPr>
        <w:t xml:space="preserve">, the reduction by </w:t>
      </w:r>
      <w:r w:rsidRPr="00B6175F">
        <w:rPr>
          <w:i/>
        </w:rPr>
        <w:t>90% of greenhouse gas emissions generated by transport, so that the EU becomes a neutral economy from a climate point of view until 2050</w:t>
      </w:r>
      <w:r w:rsidRPr="00ED1A82">
        <w:rPr>
          <w:iCs/>
        </w:rPr>
        <w:t>. At the same time, through the legislative package "</w:t>
      </w:r>
      <w:r w:rsidRPr="00B6175F">
        <w:rPr>
          <w:b/>
          <w:bCs/>
          <w:iCs/>
        </w:rPr>
        <w:t>Prepare for 55</w:t>
      </w:r>
      <w:r w:rsidRPr="00ED1A82">
        <w:rPr>
          <w:iCs/>
        </w:rPr>
        <w:t>"</w:t>
      </w:r>
      <w:r w:rsidRPr="00A200DA">
        <w:rPr>
          <w:rStyle w:val="FootnoteReference"/>
        </w:rPr>
        <w:footnoteReference w:id="25"/>
      </w:r>
      <w:r w:rsidRPr="00ED1A82">
        <w:rPr>
          <w:iCs/>
        </w:rPr>
        <w:t xml:space="preserve">, the European Commission developed a series of proposals aimed at adapting EU policies, including in transport to </w:t>
      </w:r>
      <w:r w:rsidRPr="00B6175F">
        <w:rPr>
          <w:i/>
        </w:rPr>
        <w:t>reduce net greenhouse gas emissions by at least 55% by 2030 compared to 1990 levels.</w:t>
      </w:r>
    </w:p>
    <w:p w14:paraId="1C4C4557" w14:textId="77777777" w:rsidR="003F4B0E" w:rsidRPr="00A200DA" w:rsidRDefault="003F4B0E" w:rsidP="003F4B0E">
      <w:pPr>
        <w:spacing w:line="276" w:lineRule="auto"/>
      </w:pPr>
      <w:r w:rsidRPr="00FE22AC">
        <w:lastRenderedPageBreak/>
        <w:t xml:space="preserve">In order to achieve these systemic transformations, the </w:t>
      </w:r>
      <w:r w:rsidRPr="00FE22AC">
        <w:rPr>
          <w:b/>
          <w:bCs/>
        </w:rPr>
        <w:t>EU Strategy for Sustainable and Intelligent Mobility</w:t>
      </w:r>
      <w:r w:rsidRPr="00A200DA">
        <w:rPr>
          <w:rStyle w:val="FootnoteReference"/>
          <w:b/>
          <w:bCs/>
        </w:rPr>
        <w:footnoteReference w:id="26"/>
      </w:r>
      <w:r w:rsidRPr="00FE22AC">
        <w:t xml:space="preserve"> proposes to modify and adapt current public policies through: (1) measures to significantly reduce dependence on fossil fuels (e.g. by replacing existing fleets with low-emission vehicles and vehicles with zero emissions); (2) decisive actions to reorient more activities towards more sustainable modes of transport (</w:t>
      </w:r>
      <w:proofErr w:type="spellStart"/>
      <w:r w:rsidRPr="00FE22AC">
        <w:t>eg</w:t>
      </w:r>
      <w:proofErr w:type="spellEnd"/>
      <w:r w:rsidRPr="00FE22AC">
        <w:t xml:space="preserve"> increasing the number of passengers traveling by train and commuting with public transport and active modes); and (3) internalizing external costs (by implementing the polluter-pays and user-pays principles, in particular by establishing carbon pricing and infrastructure usage charging mechanisms).</w:t>
      </w:r>
    </w:p>
    <w:p w14:paraId="1CD6350B" w14:textId="77777777" w:rsidR="00CB6B94" w:rsidRPr="00A200DA" w:rsidRDefault="00CB6B94" w:rsidP="00CB6B94">
      <w:pPr>
        <w:spacing w:line="276" w:lineRule="auto"/>
        <w:rPr>
          <w:szCs w:val="22"/>
        </w:rPr>
      </w:pPr>
      <w:r w:rsidRPr="00490D8C">
        <w:rPr>
          <w:szCs w:val="22"/>
        </w:rPr>
        <w:t xml:space="preserve">Despite the developments in recent years, the transport sector in Romania still presents numerous vulnerabilities and deficiencies both in terms of infrastructure development and from the perspective of alignment with the EU's environmental and climate objectives. According to the </w:t>
      </w:r>
      <w:r w:rsidRPr="00490D8C">
        <w:rPr>
          <w:b/>
          <w:bCs/>
          <w:szCs w:val="22"/>
        </w:rPr>
        <w:t>Country Report for 2024</w:t>
      </w:r>
      <w:r w:rsidRPr="00A200DA">
        <w:rPr>
          <w:rStyle w:val="FootnoteReference"/>
          <w:b/>
          <w:bCs/>
        </w:rPr>
        <w:footnoteReference w:id="27"/>
      </w:r>
      <w:r w:rsidRPr="00490D8C">
        <w:rPr>
          <w:szCs w:val="22"/>
        </w:rPr>
        <w:t>, Romania has made some progress towards the implementation and adoption of the specific country recommendations from 2019 and 2020 in the field of transport, by starting specific investments, supported by the Cohesion Policy and the Recovery and Resilience Mechanism.</w:t>
      </w:r>
    </w:p>
    <w:p w14:paraId="0DD03CBE" w14:textId="77777777" w:rsidR="00371DA4" w:rsidRDefault="00371DA4" w:rsidP="00371DA4">
      <w:pPr>
        <w:spacing w:line="276" w:lineRule="auto"/>
      </w:pPr>
      <w:r w:rsidRPr="00C71255">
        <w:t xml:space="preserve">The report highlights </w:t>
      </w:r>
      <w:r w:rsidRPr="00C71255">
        <w:rPr>
          <w:i/>
          <w:iCs/>
        </w:rPr>
        <w:t>the progress made by Romania towards the green transition</w:t>
      </w:r>
      <w:r w:rsidRPr="00C71255">
        <w:t>, but underlines the need to implement several actions to support the policies necessary to achieve the effort sharing objective for 2030</w:t>
      </w:r>
      <w:r w:rsidRPr="00A200DA">
        <w:rPr>
          <w:vertAlign w:val="superscript"/>
        </w:rPr>
        <w:footnoteReference w:id="28"/>
      </w:r>
      <w:r w:rsidRPr="00C71255">
        <w:t xml:space="preserve">, by reducing, </w:t>
      </w:r>
      <w:r w:rsidRPr="00C71255">
        <w:rPr>
          <w:i/>
          <w:iCs/>
        </w:rPr>
        <w:t>inter alia</w:t>
      </w:r>
      <w:r w:rsidRPr="00C71255">
        <w:t xml:space="preserve">, greenhouse gas emissions generated by transport road. The analysis of the current policies and measures, planned at the national level, lead to the design of some </w:t>
      </w:r>
      <w:r w:rsidRPr="00C71255">
        <w:rPr>
          <w:i/>
          <w:iCs/>
        </w:rPr>
        <w:t>cautious, even unfavorable, scenarios regarding the possibility of Romania reaching its effort sharing objective for the year 2030</w:t>
      </w:r>
      <w:r w:rsidRPr="00C71255">
        <w:t>.</w:t>
      </w:r>
      <w:r w:rsidRPr="00CF220D">
        <w:t xml:space="preserve"> According to the data contained in the report, it is estimated that the current policies will increase by 2030 the emissions of greenhouse gases, generated by the sectors that are subject to the legislation on the sharing of Romania's efforts, by 7.1% compared to the levels of 2005. At the same time, it is expected that the additional policies included in the </w:t>
      </w:r>
      <w:r>
        <w:t>NIPECC</w:t>
      </w:r>
      <w:r w:rsidRPr="00CF220D">
        <w:t xml:space="preserve"> will limit growth to 4.4% compared to 2005 levels. Thus, a gap of over 17 percentage points compared to the effort sharing objective, corresponding to Romania, which targeted a 12.7% reduction, highlighting the importance of </w:t>
      </w:r>
      <w:r w:rsidRPr="00371DA4">
        <w:rPr>
          <w:i/>
          <w:iCs/>
        </w:rPr>
        <w:t>planning and implementing more ambitious climate actions</w:t>
      </w:r>
      <w:r w:rsidRPr="00CF220D">
        <w:t>.</w:t>
      </w:r>
    </w:p>
    <w:p w14:paraId="4EC9F8BD" w14:textId="77777777" w:rsidR="00732CFF" w:rsidRPr="00A200DA" w:rsidRDefault="00732CFF" w:rsidP="00732CFF">
      <w:pPr>
        <w:spacing w:before="120" w:line="276" w:lineRule="auto"/>
      </w:pPr>
      <w:r w:rsidRPr="00C03375">
        <w:t xml:space="preserve">Reducing the level of greenhouse gas emissions generated by road transport has a key role in the architecture of national public policies, against the background of unfavorable statistical data, which reveal significant increases in pollution levels. According to the 2024 Country Report, in 2022, greenhouse gas emissions produced by road transport increased by 8.3% compared to 2005 levels, and their share in the </w:t>
      </w:r>
      <w:r w:rsidRPr="00C03375">
        <w:lastRenderedPageBreak/>
        <w:t>emissions that are the subject of effort sharing legislation increased to 23.4%, from 15.4%, which was the value reported in 2005.</w:t>
      </w:r>
    </w:p>
    <w:p w14:paraId="490808CA" w14:textId="77777777" w:rsidR="0069589D" w:rsidRPr="00A200DA" w:rsidRDefault="0069589D" w:rsidP="0069589D">
      <w:pPr>
        <w:spacing w:before="120" w:line="276" w:lineRule="auto"/>
      </w:pPr>
      <w:r w:rsidRPr="006F6C84">
        <w:t xml:space="preserve">In this context, one of </w:t>
      </w:r>
      <w:r w:rsidRPr="006F6C84">
        <w:rPr>
          <w:b/>
          <w:bCs/>
        </w:rPr>
        <w:t>the recommendations of the Council of the European Union</w:t>
      </w:r>
      <w:r w:rsidRPr="00A200DA">
        <w:rPr>
          <w:rStyle w:val="FootnoteReference"/>
          <w:b/>
          <w:bCs/>
        </w:rPr>
        <w:footnoteReference w:id="29"/>
      </w:r>
      <w:r w:rsidRPr="00A200DA">
        <w:t xml:space="preserve"> </w:t>
      </w:r>
      <w:r w:rsidRPr="006F6C84">
        <w:t xml:space="preserve"> regarding Romania's current public policies aims to maintain the prioritization of investments in </w:t>
      </w:r>
      <w:r w:rsidRPr="006F6C84">
        <w:rPr>
          <w:i/>
          <w:iCs/>
        </w:rPr>
        <w:t>sustainable urban transport</w:t>
      </w:r>
      <w:r w:rsidRPr="006F6C84">
        <w:t>.</w:t>
      </w:r>
    </w:p>
    <w:p w14:paraId="4386A491" w14:textId="77777777" w:rsidR="00D856FA" w:rsidRPr="00A200DA" w:rsidRDefault="00D856FA" w:rsidP="00D856FA">
      <w:pPr>
        <w:pStyle w:val="Default"/>
        <w:spacing w:before="120" w:after="120" w:line="276" w:lineRule="auto"/>
        <w:jc w:val="both"/>
        <w:rPr>
          <w:rFonts w:eastAsia="Times New Roman"/>
          <w:i/>
          <w:iCs/>
          <w:color w:val="auto"/>
          <w:sz w:val="22"/>
          <w:szCs w:val="22"/>
          <w:lang w:eastAsia="ja-JP"/>
        </w:rPr>
      </w:pPr>
      <w:r w:rsidRPr="00F504EB">
        <w:rPr>
          <w:rFonts w:eastAsia="Times New Roman"/>
          <w:b/>
          <w:bCs/>
          <w:color w:val="auto"/>
          <w:sz w:val="22"/>
          <w:szCs w:val="22"/>
          <w:lang w:eastAsia="ja-JP"/>
        </w:rPr>
        <w:t>The national strategy for the sustainable development of Romania 2030</w:t>
      </w:r>
      <w:r w:rsidRPr="00A200DA">
        <w:rPr>
          <w:rStyle w:val="FootnoteReference"/>
          <w:sz w:val="22"/>
          <w:szCs w:val="22"/>
        </w:rPr>
        <w:footnoteReference w:id="30"/>
      </w:r>
      <w:r w:rsidRPr="00F504EB">
        <w:rPr>
          <w:rFonts w:eastAsia="Times New Roman"/>
          <w:color w:val="auto"/>
          <w:sz w:val="22"/>
          <w:szCs w:val="22"/>
          <w:lang w:eastAsia="ja-JP"/>
        </w:rPr>
        <w:t xml:space="preserve"> establishes the national framework for the adoption of the 2030 Agenda and the implementation of the 17 sustainable development objectives, supporting Romania's development including in the field of sustainable urban mobility. Through </w:t>
      </w:r>
      <w:r w:rsidRPr="00F504EB">
        <w:rPr>
          <w:rFonts w:eastAsia="Times New Roman"/>
          <w:i/>
          <w:iCs/>
          <w:color w:val="auto"/>
          <w:sz w:val="22"/>
          <w:szCs w:val="22"/>
          <w:lang w:eastAsia="ja-JP"/>
        </w:rPr>
        <w:t>SDG 11 Sustainable cities and communities</w:t>
      </w:r>
      <w:r w:rsidRPr="00F504EB">
        <w:rPr>
          <w:rFonts w:eastAsia="Times New Roman"/>
          <w:color w:val="auto"/>
          <w:sz w:val="22"/>
          <w:szCs w:val="22"/>
          <w:lang w:eastAsia="ja-JP"/>
        </w:rPr>
        <w:t xml:space="preserve">, the Strategy aims </w:t>
      </w:r>
      <w:r w:rsidRPr="00F504EB">
        <w:rPr>
          <w:rFonts w:eastAsia="Times New Roman"/>
          <w:i/>
          <w:iCs/>
          <w:color w:val="auto"/>
          <w:sz w:val="22"/>
          <w:szCs w:val="22"/>
          <w:lang w:eastAsia="ja-JP"/>
        </w:rPr>
        <w:t>to ensure access to efficient public transport at fair and affordable prices for all, promote the smart-city concept and reduce the negative impact on the environment in cities, including by paying special attention to air quality and the environment in general</w:t>
      </w:r>
      <w:r w:rsidRPr="00F504EB">
        <w:rPr>
          <w:rFonts w:eastAsia="Times New Roman"/>
          <w:color w:val="auto"/>
          <w:sz w:val="22"/>
          <w:szCs w:val="22"/>
          <w:lang w:eastAsia="ja-JP"/>
        </w:rPr>
        <w:t>. To achieve this objective, several targets are set for the year 2030, some of which aim to</w:t>
      </w:r>
      <w:r w:rsidRPr="0043271C">
        <w:rPr>
          <w:rFonts w:eastAsia="Times New Roman"/>
          <w:i/>
          <w:iCs/>
          <w:color w:val="auto"/>
          <w:sz w:val="22"/>
          <w:szCs w:val="22"/>
          <w:lang w:eastAsia="ja-JP"/>
        </w:rPr>
        <w:t xml:space="preserve"> optimize and make urban public transport more accessible, improve air quality and reduce the number of deaths caused by pollution.</w:t>
      </w:r>
    </w:p>
    <w:p w14:paraId="71793D6B" w14:textId="77777777" w:rsidR="00D5124A" w:rsidRPr="00A200DA" w:rsidRDefault="00D5124A" w:rsidP="00D5124A">
      <w:pPr>
        <w:pStyle w:val="Default"/>
        <w:spacing w:before="120" w:after="120" w:line="276" w:lineRule="auto"/>
        <w:jc w:val="both"/>
        <w:rPr>
          <w:rFonts w:eastAsia="Times New Roman"/>
          <w:sz w:val="22"/>
          <w:szCs w:val="22"/>
          <w:lang w:eastAsia="ja-JP"/>
        </w:rPr>
      </w:pPr>
      <w:r w:rsidRPr="0027081F">
        <w:rPr>
          <w:rFonts w:eastAsia="Times New Roman"/>
          <w:sz w:val="22"/>
          <w:szCs w:val="22"/>
          <w:lang w:eastAsia="ja-JP"/>
        </w:rPr>
        <w:t>Romania's firm commitment to achieving the community objectives and targets regarding the green transition and reducing the level of pollution is confirmed in the content of the</w:t>
      </w:r>
      <w:r w:rsidRPr="000D7E67">
        <w:rPr>
          <w:rFonts w:eastAsia="Times New Roman"/>
          <w:b/>
          <w:bCs/>
          <w:sz w:val="22"/>
          <w:szCs w:val="22"/>
          <w:lang w:eastAsia="ja-JP"/>
        </w:rPr>
        <w:t xml:space="preserve"> National Integrated Plan in the field of Energy and Climate Change</w:t>
      </w:r>
      <w:r w:rsidRPr="000D7E67">
        <w:rPr>
          <w:rStyle w:val="FootnoteReference"/>
          <w:rFonts w:eastAsia="Times New Roman"/>
          <w:b/>
          <w:bCs/>
          <w:sz w:val="22"/>
          <w:szCs w:val="22"/>
          <w:vertAlign w:val="baseline"/>
          <w:lang w:eastAsia="ja-JP"/>
        </w:rPr>
        <w:t xml:space="preserve"> </w:t>
      </w:r>
      <w:r w:rsidRPr="00A200DA">
        <w:rPr>
          <w:rStyle w:val="FootnoteReference"/>
          <w:rFonts w:eastAsia="Times New Roman"/>
          <w:b/>
          <w:color w:val="auto"/>
          <w:sz w:val="22"/>
          <w:szCs w:val="22"/>
          <w:lang w:eastAsia="ja-JP"/>
        </w:rPr>
        <w:footnoteReference w:id="31"/>
      </w:r>
      <w:r w:rsidRPr="0027081F">
        <w:rPr>
          <w:rFonts w:eastAsia="Times New Roman"/>
          <w:sz w:val="22"/>
          <w:szCs w:val="22"/>
          <w:lang w:eastAsia="ja-JP"/>
        </w:rPr>
        <w:t xml:space="preserve">. According to this strategic document, the national long-term objectives aim to reduce GHG emissions by 85% by 2030, decrease by 96% by 2040, respectively a complete reduction of GHG emissions by 2050 (compared to the level of 1990). In the transport sector, </w:t>
      </w:r>
      <w:r w:rsidRPr="0027081F">
        <w:rPr>
          <w:rFonts w:eastAsia="Times New Roman"/>
          <w:i/>
          <w:iCs/>
          <w:sz w:val="22"/>
          <w:szCs w:val="22"/>
          <w:lang w:eastAsia="ja-JP"/>
        </w:rPr>
        <w:t>the sectoral target indicates an increase in GHG emissions limited to no more than 40% in 2030 compared to 1990, the limitation being possible primarily by supporting the development of road transport with hybrid and electric vehicles.</w:t>
      </w:r>
    </w:p>
    <w:p w14:paraId="43CA9432" w14:textId="77777777" w:rsidR="00D52E11" w:rsidRPr="00C633BF" w:rsidRDefault="00D52E11" w:rsidP="00D52E11">
      <w:pPr>
        <w:spacing w:before="120" w:line="276" w:lineRule="auto"/>
        <w:rPr>
          <w:szCs w:val="22"/>
        </w:rPr>
      </w:pPr>
      <w:r w:rsidRPr="00C633BF">
        <w:rPr>
          <w:szCs w:val="22"/>
        </w:rPr>
        <w:t xml:space="preserve">Regarding </w:t>
      </w:r>
      <w:r w:rsidRPr="00C633BF">
        <w:rPr>
          <w:i/>
          <w:iCs/>
          <w:szCs w:val="22"/>
        </w:rPr>
        <w:t>passenger transport</w:t>
      </w:r>
      <w:r w:rsidRPr="00C633BF">
        <w:rPr>
          <w:szCs w:val="22"/>
        </w:rPr>
        <w:t>, NIPECC proposes measures to increase the share of vehicles powered by alternative fuels and modernize urban public transport. They respond to the major need to promote and use passenger vehicles (buses, minibuses) powered by alternative fuels to reduce GHG emissions, achieve more sustainable transport and achieve the objectives set in the European Green Deal and the 2030 Agenda for Sustainable Development.</w:t>
      </w:r>
    </w:p>
    <w:p w14:paraId="4DA42B83" w14:textId="77777777" w:rsidR="00D52E11" w:rsidRDefault="00D52E11" w:rsidP="00D52E11">
      <w:pPr>
        <w:spacing w:before="120" w:line="276" w:lineRule="auto"/>
        <w:rPr>
          <w:iCs/>
          <w:szCs w:val="22"/>
          <w:lang w:eastAsia="it-IT"/>
        </w:rPr>
      </w:pPr>
      <w:r w:rsidRPr="00C12F57">
        <w:rPr>
          <w:iCs/>
          <w:szCs w:val="22"/>
          <w:lang w:eastAsia="it-IT"/>
        </w:rPr>
        <w:t xml:space="preserve">At the territorial level, the analysis of available data highlights the poor quality of local public transport in the South-West </w:t>
      </w:r>
      <w:proofErr w:type="spellStart"/>
      <w:r w:rsidRPr="00C12F57">
        <w:rPr>
          <w:iCs/>
          <w:szCs w:val="22"/>
          <w:lang w:eastAsia="it-IT"/>
        </w:rPr>
        <w:t>Oltenia</w:t>
      </w:r>
      <w:proofErr w:type="spellEnd"/>
      <w:r w:rsidRPr="00C12F57">
        <w:rPr>
          <w:iCs/>
          <w:szCs w:val="22"/>
          <w:lang w:eastAsia="it-IT"/>
        </w:rPr>
        <w:t xml:space="preserve"> Region, despite the existence of a well-developed transport system. However, the age of the means of transport, the low frequency of their circulation or the long time allocated to travel a route are elements that affect the attractiveness of local public transport. The fleet modernization process </w:t>
      </w:r>
      <w:r w:rsidRPr="00C12F57">
        <w:rPr>
          <w:iCs/>
          <w:szCs w:val="22"/>
          <w:lang w:eastAsia="it-IT"/>
        </w:rPr>
        <w:lastRenderedPageBreak/>
        <w:t>thus remains an important objective, allowing the expansion or consolidation of the public transport service in the functional urban area or in the metropolitan area.</w:t>
      </w:r>
    </w:p>
    <w:p w14:paraId="1EF5D744" w14:textId="77777777" w:rsidR="00377B0E" w:rsidRPr="00A200DA" w:rsidRDefault="00377B0E" w:rsidP="00377B0E">
      <w:pPr>
        <w:spacing w:before="120" w:line="276" w:lineRule="auto"/>
        <w:rPr>
          <w:szCs w:val="22"/>
          <w:lang w:eastAsia="it-IT"/>
        </w:rPr>
      </w:pPr>
      <w:r w:rsidRPr="000315E3">
        <w:rPr>
          <w:szCs w:val="22"/>
          <w:lang w:eastAsia="it-IT"/>
        </w:rPr>
        <w:t xml:space="preserve">Sustainable urban development is one of the key priorities of the </w:t>
      </w:r>
      <w:r w:rsidRPr="000315E3">
        <w:rPr>
          <w:b/>
          <w:bCs/>
          <w:szCs w:val="22"/>
          <w:lang w:eastAsia="it-IT"/>
        </w:rPr>
        <w:t xml:space="preserve">South-West </w:t>
      </w:r>
      <w:proofErr w:type="spellStart"/>
      <w:r w:rsidRPr="000315E3">
        <w:rPr>
          <w:b/>
          <w:bCs/>
          <w:szCs w:val="22"/>
          <w:lang w:eastAsia="it-IT"/>
        </w:rPr>
        <w:t>Oltenia</w:t>
      </w:r>
      <w:proofErr w:type="spellEnd"/>
      <w:r w:rsidRPr="000315E3">
        <w:rPr>
          <w:b/>
          <w:bCs/>
          <w:szCs w:val="22"/>
          <w:lang w:eastAsia="it-IT"/>
        </w:rPr>
        <w:t xml:space="preserve"> Regional Development Plan 2021-2027</w:t>
      </w:r>
      <w:r w:rsidRPr="00A200DA">
        <w:rPr>
          <w:rStyle w:val="FootnoteReference"/>
          <w:b/>
          <w:bCs/>
          <w:iCs/>
          <w:szCs w:val="22"/>
          <w:lang w:eastAsia="it-IT"/>
        </w:rPr>
        <w:footnoteReference w:id="32"/>
      </w:r>
      <w:r w:rsidRPr="000315E3">
        <w:rPr>
          <w:szCs w:val="22"/>
          <w:lang w:eastAsia="it-IT"/>
        </w:rPr>
        <w:t>, the operations and activities included in the Plan being oriented towards the expansion or development of public transport with ecological means (e.g. trolleybuses, trams, etc.), but also towards the construction of infrastructure necessary for electric transport, to reduce the level of pollution.</w:t>
      </w:r>
    </w:p>
    <w:p w14:paraId="151BCFD8" w14:textId="77777777" w:rsidR="00B778E7" w:rsidRPr="007E14FF" w:rsidRDefault="00B778E7" w:rsidP="00B778E7">
      <w:pPr>
        <w:spacing w:line="276" w:lineRule="auto"/>
        <w:rPr>
          <w:szCs w:val="22"/>
          <w:lang w:eastAsia="it-IT"/>
        </w:rPr>
      </w:pPr>
    </w:p>
    <w:p w14:paraId="44019D70" w14:textId="77777777" w:rsidR="00222281" w:rsidRPr="00A200DA" w:rsidRDefault="00222281" w:rsidP="00222281">
      <w:pPr>
        <w:spacing w:line="276" w:lineRule="auto"/>
        <w:rPr>
          <w:b/>
        </w:rPr>
      </w:pPr>
      <w:r w:rsidRPr="00A200DA">
        <w:rPr>
          <w:b/>
          <w:bCs/>
        </w:rPr>
        <w:t>Priorit</w:t>
      </w:r>
      <w:r>
        <w:rPr>
          <w:b/>
          <w:bCs/>
        </w:rPr>
        <w:t xml:space="preserve">y </w:t>
      </w:r>
      <w:r w:rsidRPr="00A200DA">
        <w:rPr>
          <w:b/>
          <w:bCs/>
        </w:rPr>
        <w:t xml:space="preserve">5: </w:t>
      </w:r>
      <w:r w:rsidRPr="00E57D5D">
        <w:rPr>
          <w:b/>
          <w:bCs/>
        </w:rPr>
        <w:t>Regional accessibility and connectivity</w:t>
      </w:r>
    </w:p>
    <w:p w14:paraId="6CC5E3EC" w14:textId="77777777" w:rsidR="00607A59" w:rsidRPr="00A200DA" w:rsidRDefault="00607A59" w:rsidP="00607A59">
      <w:pPr>
        <w:spacing w:line="276" w:lineRule="auto"/>
        <w:rPr>
          <w:szCs w:val="22"/>
        </w:rPr>
      </w:pPr>
      <w:r w:rsidRPr="0096647B">
        <w:rPr>
          <w:b/>
          <w:bCs/>
          <w:szCs w:val="22"/>
        </w:rPr>
        <w:t>Romania's General Transport Master Plan</w:t>
      </w:r>
      <w:r w:rsidRPr="00A200DA">
        <w:rPr>
          <w:rStyle w:val="FootnoteReference"/>
          <w:b/>
          <w:bCs/>
          <w:szCs w:val="22"/>
        </w:rPr>
        <w:footnoteReference w:id="33"/>
      </w:r>
      <w:r w:rsidRPr="0096647B">
        <w:rPr>
          <w:szCs w:val="22"/>
        </w:rPr>
        <w:t xml:space="preserve"> is the main strategic planning tool for major interventions (projects and actions) that are significant for transport objectives on a national scale. Regarding </w:t>
      </w:r>
      <w:r w:rsidRPr="0096647B">
        <w:rPr>
          <w:i/>
          <w:iCs/>
          <w:szCs w:val="22"/>
        </w:rPr>
        <w:t>road transport</w:t>
      </w:r>
      <w:r w:rsidRPr="0096647B">
        <w:rPr>
          <w:szCs w:val="22"/>
        </w:rPr>
        <w:t>, the strategic vision of the Master Plan aims to improve the mobility of the population and the business environment along the TEN-T network, the national connectivity corridors, as well as the regional connectivity corridors, by: reducing delay times in traffic, reducing the risk of road accidents, developing economically sustainable projects with an impact on regional development and promoting projects that meet environmental requirements.</w:t>
      </w:r>
    </w:p>
    <w:p w14:paraId="6B053F3C" w14:textId="77777777" w:rsidR="00773E81" w:rsidRPr="00A200DA" w:rsidRDefault="00773E81" w:rsidP="00773E81">
      <w:pPr>
        <w:spacing w:line="276" w:lineRule="auto"/>
        <w:ind w:left="0" w:firstLine="0"/>
        <w:rPr>
          <w:rFonts w:eastAsia="Times New Roman"/>
          <w:color w:val="auto"/>
          <w:kern w:val="0"/>
          <w:szCs w:val="22"/>
          <w:lang w:eastAsia="ja-JP"/>
          <w14:ligatures w14:val="none"/>
        </w:rPr>
      </w:pPr>
      <w:r w:rsidRPr="00A8221D">
        <w:rPr>
          <w:rFonts w:eastAsia="Times New Roman"/>
          <w:b/>
          <w:bCs/>
          <w:color w:val="auto"/>
          <w:kern w:val="0"/>
          <w:szCs w:val="22"/>
          <w:lang w:eastAsia="ja-JP"/>
          <w14:ligatures w14:val="none"/>
        </w:rPr>
        <w:t>The Investment Program for the development of transport infrastructure in Romania for the period 2021-2030</w:t>
      </w:r>
      <w:r w:rsidRPr="00A200DA">
        <w:rPr>
          <w:rStyle w:val="FootnoteReference"/>
          <w:rFonts w:eastAsia="Times New Roman"/>
          <w:b/>
          <w:bCs/>
          <w:color w:val="auto"/>
          <w:kern w:val="0"/>
          <w:szCs w:val="22"/>
          <w:lang w:eastAsia="ja-JP"/>
          <w14:ligatures w14:val="none"/>
        </w:rPr>
        <w:footnoteReference w:id="34"/>
      </w:r>
      <w:r w:rsidRPr="00A8221D">
        <w:rPr>
          <w:rFonts w:eastAsia="Times New Roman"/>
          <w:color w:val="auto"/>
          <w:kern w:val="0"/>
          <w:szCs w:val="22"/>
          <w:lang w:eastAsia="ja-JP"/>
          <w14:ligatures w14:val="none"/>
        </w:rPr>
        <w:t xml:space="preserve"> represents an update of the General Transport Master Plan of Romania, approved in 2016, and of the related implementation Strategy. From the perspective of European and national policies, the Program addresses three major areas of interest for the period 2021 - 2030, related to the recovery of the basic infrastructure deficit at national level in all areas of transport, but especially in the road transport sector, applying the EU policies and standards regarding trans-European transport networks, especially in the rail sector, respecting the greening targets of the transport sector set out in the European Green Deal and the "Get Ready for 55" package, especially in the road sector.</w:t>
      </w:r>
    </w:p>
    <w:p w14:paraId="6C7492B8" w14:textId="77777777" w:rsidR="00394B26" w:rsidRPr="00A200DA" w:rsidRDefault="00394B26" w:rsidP="00394B26">
      <w:pPr>
        <w:spacing w:line="276" w:lineRule="auto"/>
        <w:ind w:left="0" w:firstLine="0"/>
        <w:rPr>
          <w:rFonts w:eastAsia="Times New Roman"/>
          <w:color w:val="auto"/>
          <w:kern w:val="0"/>
          <w:szCs w:val="22"/>
          <w:lang w:eastAsia="ja-JP"/>
          <w14:ligatures w14:val="none"/>
        </w:rPr>
      </w:pPr>
      <w:r w:rsidRPr="004E25B7">
        <w:rPr>
          <w:rFonts w:eastAsia="Times New Roman"/>
          <w:color w:val="auto"/>
          <w:kern w:val="0"/>
          <w:szCs w:val="22"/>
          <w:lang w:eastAsia="ja-JP"/>
          <w14:ligatures w14:val="none"/>
        </w:rPr>
        <w:t>The program emphasizes the need to focus Romania's political, institutional and financial efforts on a clear set of priorities, in line with national and European interests, which will lead, by 2030, to the creation of the national transport network necessary to ensure the development of the national economy.</w:t>
      </w:r>
    </w:p>
    <w:p w14:paraId="4F2D86B8" w14:textId="77777777" w:rsidR="00394B26" w:rsidRDefault="00394B26" w:rsidP="00394B26">
      <w:pPr>
        <w:tabs>
          <w:tab w:val="left" w:pos="4095"/>
        </w:tabs>
        <w:spacing w:line="276" w:lineRule="auto"/>
        <w:ind w:left="0" w:firstLine="0"/>
        <w:rPr>
          <w:rFonts w:eastAsia="Times New Roman"/>
          <w:color w:val="auto"/>
          <w:kern w:val="0"/>
          <w:szCs w:val="22"/>
          <w:lang w:eastAsia="ja-JP"/>
          <w14:ligatures w14:val="none"/>
        </w:rPr>
      </w:pPr>
      <w:r w:rsidRPr="009E0B56">
        <w:rPr>
          <w:rFonts w:eastAsia="Times New Roman"/>
          <w:color w:val="auto"/>
          <w:kern w:val="0"/>
          <w:szCs w:val="22"/>
          <w:lang w:eastAsia="ja-JP"/>
          <w14:ligatures w14:val="none"/>
        </w:rPr>
        <w:t xml:space="preserve">The document describes the development stage of each transport sector (including road transport), highlights the main development needs, identifies investment projects, establishes the prioritization methodology, estimates the budget and the implementation schedule and, finally, points out the aspects </w:t>
      </w:r>
      <w:r w:rsidRPr="009E0B56">
        <w:rPr>
          <w:rFonts w:eastAsia="Times New Roman"/>
          <w:color w:val="auto"/>
          <w:kern w:val="0"/>
          <w:szCs w:val="22"/>
          <w:lang w:eastAsia="ja-JP"/>
          <w14:ligatures w14:val="none"/>
        </w:rPr>
        <w:lastRenderedPageBreak/>
        <w:t>related to the operatio</w:t>
      </w:r>
      <w:r>
        <w:rPr>
          <w:rFonts w:eastAsia="Times New Roman"/>
          <w:color w:val="auto"/>
          <w:kern w:val="0"/>
          <w:szCs w:val="22"/>
          <w:lang w:eastAsia="ja-JP"/>
          <w14:ligatures w14:val="none"/>
        </w:rPr>
        <w:t>n</w:t>
      </w:r>
      <w:r w:rsidRPr="009E0B56">
        <w:rPr>
          <w:rFonts w:eastAsia="Times New Roman"/>
          <w:color w:val="auto"/>
          <w:kern w:val="0"/>
          <w:szCs w:val="22"/>
          <w:lang w:eastAsia="ja-JP"/>
          <w14:ligatures w14:val="none"/>
        </w:rPr>
        <w:t>, maintenance and management of new infrastructure, including environmental and climate aspects.</w:t>
      </w:r>
    </w:p>
    <w:p w14:paraId="79B1AF5E" w14:textId="77777777" w:rsidR="009A18D6" w:rsidRPr="00A200DA" w:rsidRDefault="009A18D6" w:rsidP="009A18D6">
      <w:pPr>
        <w:tabs>
          <w:tab w:val="left" w:pos="4095"/>
        </w:tabs>
        <w:spacing w:line="276" w:lineRule="auto"/>
        <w:ind w:left="0" w:firstLine="0"/>
        <w:rPr>
          <w:rFonts w:eastAsia="Times New Roman"/>
          <w:color w:val="auto"/>
          <w:kern w:val="0"/>
          <w:szCs w:val="22"/>
          <w:lang w:eastAsia="ja-JP"/>
          <w14:ligatures w14:val="none"/>
        </w:rPr>
      </w:pPr>
      <w:r w:rsidRPr="00A57509">
        <w:rPr>
          <w:rFonts w:eastAsia="Times New Roman"/>
          <w:color w:val="auto"/>
          <w:kern w:val="0"/>
          <w:szCs w:val="22"/>
          <w:lang w:eastAsia="ja-JP"/>
          <w14:ligatures w14:val="none"/>
        </w:rPr>
        <w:t>Road safety is essential for any transport system and is a major priority of current public policies at European level. The EU Road Safety Policy Framework 2021-2030 - Next steps towards 'Vision Zero' - states that the EU's long-term objective is to get as close as possible t</w:t>
      </w:r>
      <w:r>
        <w:rPr>
          <w:rFonts w:eastAsia="Times New Roman"/>
          <w:color w:val="auto"/>
          <w:kern w:val="0"/>
          <w:szCs w:val="22"/>
          <w:lang w:eastAsia="ja-JP"/>
          <w14:ligatures w14:val="none"/>
        </w:rPr>
        <w:t>o zero</w:t>
      </w:r>
      <w:r w:rsidRPr="00A57509">
        <w:rPr>
          <w:rFonts w:eastAsia="Times New Roman"/>
          <w:color w:val="auto"/>
          <w:kern w:val="0"/>
          <w:szCs w:val="22"/>
          <w:lang w:eastAsia="ja-JP"/>
          <w14:ligatures w14:val="none"/>
        </w:rPr>
        <w:t xml:space="preserve"> deaths caused by road accidents by 2050 ("vision zero"). Also, the European Union will pursue new intermediate objectives of reducing by 50% the number of deaths caused by road accidents in the period 2022-2030 and reducing by 50% the number of serious injuries in the same period</w:t>
      </w:r>
      <w:r w:rsidRPr="00A200DA">
        <w:rPr>
          <w:rStyle w:val="FootnoteReference"/>
          <w:rFonts w:eastAsia="Times New Roman"/>
          <w:color w:val="auto"/>
          <w:kern w:val="0"/>
          <w:szCs w:val="22"/>
          <w:lang w:eastAsia="ja-JP"/>
          <w14:ligatures w14:val="none"/>
        </w:rPr>
        <w:footnoteReference w:id="35"/>
      </w:r>
      <w:r w:rsidRPr="00A57509">
        <w:rPr>
          <w:rFonts w:eastAsia="Times New Roman"/>
          <w:color w:val="auto"/>
          <w:kern w:val="0"/>
          <w:szCs w:val="22"/>
          <w:lang w:eastAsia="ja-JP"/>
          <w14:ligatures w14:val="none"/>
        </w:rPr>
        <w:t>.</w:t>
      </w:r>
      <w:r>
        <w:rPr>
          <w:rFonts w:eastAsia="Times New Roman"/>
          <w:color w:val="auto"/>
          <w:kern w:val="0"/>
          <w:szCs w:val="22"/>
          <w:lang w:eastAsia="ja-JP"/>
          <w14:ligatures w14:val="none"/>
        </w:rPr>
        <w:t xml:space="preserve"> </w:t>
      </w:r>
    </w:p>
    <w:p w14:paraId="3F5FE7A8" w14:textId="77777777" w:rsidR="008B24A1" w:rsidRPr="00A200DA" w:rsidRDefault="008B24A1" w:rsidP="008B24A1">
      <w:pPr>
        <w:tabs>
          <w:tab w:val="left" w:pos="4095"/>
        </w:tabs>
        <w:spacing w:line="276" w:lineRule="auto"/>
        <w:ind w:left="0" w:firstLine="0"/>
        <w:rPr>
          <w:rFonts w:eastAsia="Times New Roman"/>
          <w:i/>
          <w:iCs/>
          <w:color w:val="auto"/>
          <w:kern w:val="0"/>
          <w:szCs w:val="22"/>
          <w:lang w:eastAsia="ja-JP"/>
          <w14:ligatures w14:val="none"/>
        </w:rPr>
      </w:pPr>
      <w:r w:rsidRPr="00BA3CC5">
        <w:rPr>
          <w:rFonts w:eastAsia="Times New Roman"/>
          <w:color w:val="auto"/>
          <w:kern w:val="0"/>
          <w:szCs w:val="22"/>
          <w:lang w:eastAsia="ja-JP"/>
          <w14:ligatures w14:val="none"/>
        </w:rPr>
        <w:t xml:space="preserve">The national strategic document that establishes the framework and planning for the implementation of the objectives and action plans in the field of road safety, defined in accordance with the rules and guidelines of the new policies of the European Union, is the </w:t>
      </w:r>
      <w:r w:rsidRPr="00BA3CC5">
        <w:rPr>
          <w:rFonts w:eastAsia="Times New Roman"/>
          <w:b/>
          <w:bCs/>
          <w:color w:val="auto"/>
          <w:kern w:val="0"/>
          <w:szCs w:val="22"/>
          <w:lang w:eastAsia="ja-JP"/>
          <w14:ligatures w14:val="none"/>
        </w:rPr>
        <w:t>National Road Safety Strategy for the period 2022-2030</w:t>
      </w:r>
      <w:r w:rsidRPr="00A200DA">
        <w:rPr>
          <w:rFonts w:eastAsia="Times New Roman"/>
          <w:b/>
          <w:bCs/>
          <w:color w:val="auto"/>
          <w:kern w:val="0"/>
          <w:szCs w:val="22"/>
          <w:lang w:eastAsia="ja-JP"/>
          <w14:ligatures w14:val="none"/>
        </w:rPr>
        <w:t>.</w:t>
      </w:r>
      <w:r w:rsidRPr="00A200DA">
        <w:rPr>
          <w:rStyle w:val="FootnoteReference"/>
          <w:rFonts w:eastAsia="Times New Roman"/>
          <w:b/>
          <w:bCs/>
          <w:color w:val="auto"/>
          <w:kern w:val="0"/>
          <w:szCs w:val="22"/>
          <w:lang w:eastAsia="ja-JP"/>
          <w14:ligatures w14:val="none"/>
        </w:rPr>
        <w:footnoteReference w:id="36"/>
      </w:r>
      <w:r w:rsidRPr="00A200DA">
        <w:rPr>
          <w:rFonts w:eastAsia="Times New Roman"/>
          <w:color w:val="auto"/>
          <w:kern w:val="0"/>
          <w:szCs w:val="22"/>
          <w:lang w:eastAsia="ja-JP"/>
          <w14:ligatures w14:val="none"/>
        </w:rPr>
        <w:t xml:space="preserve"> </w:t>
      </w:r>
    </w:p>
    <w:p w14:paraId="5D46EF06" w14:textId="77777777" w:rsidR="008B24A1" w:rsidRPr="00940DB4" w:rsidRDefault="008B24A1" w:rsidP="008B24A1">
      <w:pPr>
        <w:tabs>
          <w:tab w:val="left" w:pos="4095"/>
        </w:tabs>
        <w:spacing w:line="276" w:lineRule="auto"/>
        <w:ind w:left="0" w:firstLine="0"/>
        <w:rPr>
          <w:rFonts w:eastAsia="Times New Roman"/>
          <w:color w:val="auto"/>
          <w:kern w:val="0"/>
          <w:szCs w:val="22"/>
          <w:lang w:eastAsia="ja-JP"/>
          <w14:ligatures w14:val="none"/>
        </w:rPr>
      </w:pPr>
      <w:r w:rsidRPr="00940DB4">
        <w:rPr>
          <w:rFonts w:eastAsia="Times New Roman"/>
          <w:color w:val="auto"/>
          <w:kern w:val="0"/>
          <w:szCs w:val="22"/>
          <w:lang w:eastAsia="ja-JP"/>
          <w14:ligatures w14:val="none"/>
        </w:rPr>
        <w:t>To create a framework of public policies, regarding road safety, congruent with European guidelines, Romania adopts the vision based on a "</w:t>
      </w:r>
      <w:r w:rsidRPr="00940DB4">
        <w:rPr>
          <w:rFonts w:eastAsia="Times New Roman"/>
          <w:i/>
          <w:iCs/>
          <w:color w:val="auto"/>
          <w:kern w:val="0"/>
          <w:szCs w:val="22"/>
          <w:lang w:eastAsia="ja-JP"/>
          <w14:ligatures w14:val="none"/>
        </w:rPr>
        <w:t>safe system"</w:t>
      </w:r>
      <w:r w:rsidRPr="00940DB4">
        <w:rPr>
          <w:rStyle w:val="FootnoteReference"/>
          <w:rFonts w:eastAsia="Times New Roman"/>
          <w:i/>
          <w:iCs/>
          <w:color w:val="auto"/>
          <w:kern w:val="0"/>
          <w:szCs w:val="22"/>
          <w:lang w:eastAsia="ja-JP"/>
          <w14:ligatures w14:val="none"/>
        </w:rPr>
        <w:footnoteReference w:id="37"/>
      </w:r>
      <w:r w:rsidRPr="00940DB4">
        <w:rPr>
          <w:rFonts w:eastAsia="Times New Roman"/>
          <w:color w:val="auto"/>
          <w:kern w:val="0"/>
          <w:szCs w:val="22"/>
          <w:lang w:eastAsia="ja-JP"/>
          <w14:ligatures w14:val="none"/>
        </w:rPr>
        <w:t xml:space="preserve">and proposes </w:t>
      </w:r>
      <w:r w:rsidRPr="00940DB4">
        <w:rPr>
          <w:rFonts w:eastAsia="Times New Roman"/>
          <w:i/>
          <w:iCs/>
          <w:color w:val="auto"/>
          <w:kern w:val="0"/>
          <w:szCs w:val="22"/>
          <w:lang w:eastAsia="ja-JP"/>
          <w14:ligatures w14:val="none"/>
        </w:rPr>
        <w:t>to reduce by 50%, by 2030, compared to 2019, the number of people dead and 50% of the number of people seriously injured as a result of road accidents.</w:t>
      </w:r>
    </w:p>
    <w:p w14:paraId="54238E74" w14:textId="0FA746BB" w:rsidR="009B64F6" w:rsidRPr="00A200DA" w:rsidRDefault="009B64F6" w:rsidP="009B64F6">
      <w:pPr>
        <w:tabs>
          <w:tab w:val="left" w:pos="4095"/>
        </w:tabs>
        <w:spacing w:line="276" w:lineRule="auto"/>
        <w:ind w:left="0" w:firstLine="0"/>
        <w:rPr>
          <w:rFonts w:eastAsia="Times New Roman"/>
          <w:i/>
          <w:iCs/>
          <w:color w:val="auto"/>
          <w:kern w:val="0"/>
          <w:lang w:eastAsia="ja-JP"/>
          <w14:ligatures w14:val="none"/>
        </w:rPr>
      </w:pPr>
      <w:r w:rsidRPr="006635CC">
        <w:rPr>
          <w:rFonts w:eastAsia="Times New Roman"/>
          <w:color w:val="auto"/>
          <w:kern w:val="0"/>
          <w:lang w:eastAsia="ja-JP"/>
          <w14:ligatures w14:val="none"/>
        </w:rPr>
        <w:t>According to the most recent statistical data,</w:t>
      </w:r>
      <w:r w:rsidRPr="006635CC">
        <w:rPr>
          <w:rFonts w:eastAsia="Times New Roman"/>
          <w:i/>
          <w:iCs/>
          <w:color w:val="auto"/>
          <w:kern w:val="0"/>
          <w:lang w:eastAsia="ja-JP"/>
          <w14:ligatures w14:val="none"/>
        </w:rPr>
        <w:t xml:space="preserve"> Romania ranks last in the EU and in the last third of the list of countries in the world, in terms of mortality due to road accidents, both in number and in relation to one million inhabitants or 10000 registered vehicles. At the same time, our country ranks last in the EU also in terms of the quality of the road infrastructure and the number of km of highway, per 100000 inhabitants.</w:t>
      </w:r>
      <w:r>
        <w:rPr>
          <w:rFonts w:eastAsia="Times New Roman"/>
          <w:i/>
          <w:iCs/>
          <w:color w:val="auto"/>
          <w:kern w:val="0"/>
          <w:lang w:eastAsia="ja-JP"/>
          <w14:ligatures w14:val="none"/>
        </w:rPr>
        <w:t xml:space="preserve"> </w:t>
      </w:r>
    </w:p>
    <w:p w14:paraId="1FA1CD25" w14:textId="77777777" w:rsidR="004912A6" w:rsidRPr="00A200DA" w:rsidRDefault="004912A6" w:rsidP="004912A6">
      <w:pPr>
        <w:tabs>
          <w:tab w:val="left" w:pos="4095"/>
        </w:tabs>
        <w:spacing w:line="276" w:lineRule="auto"/>
        <w:ind w:left="0" w:firstLine="0"/>
        <w:rPr>
          <w:rFonts w:eastAsia="Times New Roman"/>
          <w:color w:val="auto"/>
          <w:kern w:val="0"/>
          <w:szCs w:val="22"/>
          <w:lang w:eastAsia="ja-JP"/>
          <w14:ligatures w14:val="none"/>
        </w:rPr>
      </w:pPr>
      <w:r w:rsidRPr="00DF0079">
        <w:rPr>
          <w:rFonts w:eastAsia="Times New Roman"/>
          <w:color w:val="auto"/>
          <w:kern w:val="0"/>
          <w:szCs w:val="22"/>
          <w:lang w:eastAsia="ja-JP"/>
          <w14:ligatures w14:val="none"/>
        </w:rPr>
        <w:t>The infrastructure deficit is reflected in reduced mobility, insufficient connectivity in certain regions, poor interconnection of the main economic and urban centers, high transit traffic in many localities that do not benefit from bypass options, long travel times and traffic jams in traffic. The increase in the volume of traffic against the background of a slow development of the road infrastructure negatively influences the evolution of the number of road accidents.</w:t>
      </w:r>
    </w:p>
    <w:p w14:paraId="14BD5FBE" w14:textId="77777777" w:rsidR="00A766BC" w:rsidRPr="00A200DA" w:rsidRDefault="00A766BC" w:rsidP="00A766BC">
      <w:pPr>
        <w:spacing w:line="276" w:lineRule="auto"/>
        <w:ind w:left="0" w:firstLine="0"/>
        <w:rPr>
          <w:rFonts w:eastAsia="Times New Roman"/>
          <w:color w:val="auto"/>
          <w:kern w:val="0"/>
          <w:szCs w:val="22"/>
          <w:lang w:eastAsia="it-IT"/>
          <w14:ligatures w14:val="none"/>
        </w:rPr>
      </w:pPr>
      <w:r w:rsidRPr="00A32EC9">
        <w:rPr>
          <w:rFonts w:eastAsia="Times New Roman"/>
          <w:color w:val="auto"/>
          <w:kern w:val="0"/>
          <w:szCs w:val="22"/>
          <w:lang w:eastAsia="it-IT"/>
          <w14:ligatures w14:val="none"/>
        </w:rPr>
        <w:t xml:space="preserve">The analysis of the data captured within the </w:t>
      </w:r>
      <w:r w:rsidRPr="00A32EC9">
        <w:rPr>
          <w:rFonts w:eastAsia="Times New Roman"/>
          <w:b/>
          <w:bCs/>
          <w:color w:val="auto"/>
          <w:kern w:val="0"/>
          <w:szCs w:val="22"/>
          <w:lang w:eastAsia="it-IT"/>
          <w14:ligatures w14:val="none"/>
        </w:rPr>
        <w:t xml:space="preserve">SW </w:t>
      </w:r>
      <w:proofErr w:type="spellStart"/>
      <w:r w:rsidRPr="00A32EC9">
        <w:rPr>
          <w:rFonts w:eastAsia="Times New Roman"/>
          <w:b/>
          <w:bCs/>
          <w:color w:val="auto"/>
          <w:kern w:val="0"/>
          <w:szCs w:val="22"/>
          <w:lang w:eastAsia="it-IT"/>
          <w14:ligatures w14:val="none"/>
        </w:rPr>
        <w:t>Oltenia</w:t>
      </w:r>
      <w:proofErr w:type="spellEnd"/>
      <w:r w:rsidRPr="00A32EC9">
        <w:rPr>
          <w:rFonts w:eastAsia="Times New Roman"/>
          <w:b/>
          <w:bCs/>
          <w:color w:val="auto"/>
          <w:kern w:val="0"/>
          <w:szCs w:val="22"/>
          <w:lang w:eastAsia="it-IT"/>
          <w14:ligatures w14:val="none"/>
        </w:rPr>
        <w:t xml:space="preserve"> Regional Development Plan 2021-2027</w:t>
      </w:r>
      <w:r w:rsidRPr="00A200DA">
        <w:rPr>
          <w:rStyle w:val="FootnoteReference"/>
          <w:rFonts w:eastAsia="Times New Roman"/>
          <w:color w:val="auto"/>
          <w:kern w:val="0"/>
          <w:szCs w:val="22"/>
          <w:lang w:eastAsia="ja-JP"/>
          <w14:ligatures w14:val="none"/>
        </w:rPr>
        <w:footnoteReference w:id="38"/>
      </w:r>
      <w:r w:rsidRPr="00A32EC9">
        <w:rPr>
          <w:rFonts w:eastAsia="Times New Roman"/>
          <w:color w:val="auto"/>
          <w:kern w:val="0"/>
          <w:szCs w:val="22"/>
          <w:lang w:eastAsia="it-IT"/>
          <w14:ligatures w14:val="none"/>
        </w:rPr>
        <w:t xml:space="preserve"> indicates the poor development of the transport infrastructure at the regional level. Thus, it is found that only 43.30% of public roads are modernized, meaning 4893 km. In the case of county roads, the </w:t>
      </w:r>
      <w:r w:rsidRPr="00A32EC9">
        <w:rPr>
          <w:rFonts w:eastAsia="Times New Roman"/>
          <w:color w:val="auto"/>
          <w:kern w:val="0"/>
          <w:szCs w:val="22"/>
          <w:lang w:eastAsia="it-IT"/>
          <w14:ligatures w14:val="none"/>
        </w:rPr>
        <w:lastRenderedPageBreak/>
        <w:t>percentage of modernized ones is the lowest in the country: 34.91%, respectively 1622 km. Under these conditions, the number of accidents per year increased by 895 in 2018 compared to 2017, with the region in 2016 ranking 27th out of 278 among European regions for the number of fatal road accidents, with 106 cases per million inhabitants.</w:t>
      </w:r>
    </w:p>
    <w:p w14:paraId="400EA708" w14:textId="77777777" w:rsidR="00A766BC" w:rsidRDefault="00A766BC" w:rsidP="00A766BC">
      <w:pPr>
        <w:spacing w:line="276" w:lineRule="auto"/>
        <w:rPr>
          <w:szCs w:val="22"/>
        </w:rPr>
      </w:pPr>
      <w:r w:rsidRPr="0064083F">
        <w:rPr>
          <w:szCs w:val="22"/>
        </w:rPr>
        <w:t xml:space="preserve">In this context, RDP SW </w:t>
      </w:r>
      <w:proofErr w:type="spellStart"/>
      <w:r w:rsidRPr="0064083F">
        <w:rPr>
          <w:szCs w:val="22"/>
        </w:rPr>
        <w:t>Oltenia</w:t>
      </w:r>
      <w:proofErr w:type="spellEnd"/>
      <w:r w:rsidRPr="0064083F">
        <w:rPr>
          <w:szCs w:val="22"/>
        </w:rPr>
        <w:t xml:space="preserve"> 2021-2027 establishes interventions to improve regional accessibility and connectivity, associated with </w:t>
      </w:r>
      <w:r w:rsidRPr="0064083F">
        <w:rPr>
          <w:i/>
          <w:iCs/>
          <w:szCs w:val="22"/>
        </w:rPr>
        <w:t>Regional Priority 2. Modernization and development of regional infrastructure</w:t>
      </w:r>
      <w:r w:rsidRPr="0064083F">
        <w:rPr>
          <w:szCs w:val="22"/>
        </w:rPr>
        <w:t xml:space="preserve"> and </w:t>
      </w:r>
      <w:r w:rsidRPr="0064083F">
        <w:rPr>
          <w:i/>
          <w:iCs/>
          <w:szCs w:val="22"/>
        </w:rPr>
        <w:t>Intervention Area 2.1: Development of sustainable trans-European transport networks, national, regional and cross-border mobility</w:t>
      </w:r>
      <w:r w:rsidRPr="0064083F">
        <w:rPr>
          <w:szCs w:val="22"/>
        </w:rPr>
        <w:t>. The indicative operations or activities proposed in the RDP include: the creation of an intelligent road transport system at the regional level, the modernization and rehabilitation of the county road network, the development of intermodal transport and related logistics, ensuring the connectivity of the regional road network to the TEN-T network by modernizing and rehabilitating the county road network etc.</w:t>
      </w:r>
    </w:p>
    <w:p w14:paraId="22BC936D" w14:textId="77777777" w:rsidR="00B778E7" w:rsidRPr="007E14FF" w:rsidRDefault="00B778E7" w:rsidP="00B778E7">
      <w:pPr>
        <w:spacing w:line="276" w:lineRule="auto"/>
        <w:rPr>
          <w:szCs w:val="22"/>
        </w:rPr>
      </w:pPr>
    </w:p>
    <w:p w14:paraId="56A71FDC" w14:textId="77777777" w:rsidR="004857F5" w:rsidRPr="00A200DA" w:rsidRDefault="004857F5" w:rsidP="004857F5">
      <w:pPr>
        <w:rPr>
          <w:b/>
          <w:bCs/>
        </w:rPr>
      </w:pPr>
      <w:r w:rsidRPr="00A200DA">
        <w:rPr>
          <w:b/>
          <w:bCs/>
        </w:rPr>
        <w:t>Priorit</w:t>
      </w:r>
      <w:r>
        <w:rPr>
          <w:b/>
          <w:bCs/>
        </w:rPr>
        <w:t>y</w:t>
      </w:r>
      <w:r w:rsidRPr="00A200DA">
        <w:rPr>
          <w:b/>
          <w:bCs/>
        </w:rPr>
        <w:t xml:space="preserve"> 6: </w:t>
      </w:r>
      <w:r w:rsidRPr="00BA0DE3">
        <w:rPr>
          <w:b/>
        </w:rPr>
        <w:t>Modern and inclusive education</w:t>
      </w:r>
    </w:p>
    <w:p w14:paraId="05D3CD3C" w14:textId="77777777" w:rsidR="00DA3613" w:rsidRPr="00A200DA" w:rsidRDefault="00DA3613" w:rsidP="00DA3613">
      <w:pPr>
        <w:spacing w:line="276" w:lineRule="auto"/>
      </w:pPr>
      <w:bookmarkStart w:id="1" w:name="_Toc181093381"/>
      <w:bookmarkStart w:id="2" w:name="_Toc181268293"/>
      <w:bookmarkStart w:id="3" w:name="_Toc181288183"/>
      <w:r w:rsidRPr="00A532E5">
        <w:t xml:space="preserve">One of the most recent non-legislative initiatives at the European level, in the field of education, is represented by the </w:t>
      </w:r>
      <w:r w:rsidRPr="00A532E5">
        <w:rPr>
          <w:b/>
          <w:bCs/>
        </w:rPr>
        <w:t>Resolution on a strategic framework for European cooperation in the field of education and training (2021-2030)</w:t>
      </w:r>
      <w:r w:rsidRPr="00A200DA">
        <w:rPr>
          <w:rStyle w:val="FootnoteReference"/>
          <w:b/>
          <w:bCs/>
        </w:rPr>
        <w:footnoteReference w:id="39"/>
      </w:r>
      <w:r w:rsidRPr="00A532E5">
        <w:t>, which aims to cooperate at the EU level in order to build resilient and future-oriented education systems. Within this document, a series of targets were established that should be reached at the European level by 2030:</w:t>
      </w:r>
    </w:p>
    <w:p w14:paraId="29752D92" w14:textId="77777777" w:rsidR="00DA3613" w:rsidRPr="00C24BB4" w:rsidRDefault="00DA3613" w:rsidP="00DA3613">
      <w:pPr>
        <w:pStyle w:val="ListParagraph"/>
        <w:numPr>
          <w:ilvl w:val="0"/>
          <w:numId w:val="24"/>
        </w:numPr>
        <w:spacing w:line="276" w:lineRule="auto"/>
      </w:pPr>
      <w:r w:rsidRPr="00C24BB4">
        <w:t>The proportion of 15-year-olds with low skills in reading, mathematics and science should be below 15%;</w:t>
      </w:r>
    </w:p>
    <w:p w14:paraId="0F620B6A" w14:textId="77777777" w:rsidR="00DA3613" w:rsidRPr="00C24BB4" w:rsidRDefault="00DA3613" w:rsidP="00DA3613">
      <w:pPr>
        <w:pStyle w:val="ListParagraph"/>
        <w:numPr>
          <w:ilvl w:val="0"/>
          <w:numId w:val="24"/>
        </w:numPr>
        <w:spacing w:line="276" w:lineRule="auto"/>
      </w:pPr>
      <w:r w:rsidRPr="00C24BB4">
        <w:t>The proportion of eighth grade students with low IT skills should be below 15%;</w:t>
      </w:r>
    </w:p>
    <w:p w14:paraId="3F5C9F06" w14:textId="77777777" w:rsidR="00DA3613" w:rsidRPr="00C24BB4" w:rsidRDefault="00DA3613" w:rsidP="00DA3613">
      <w:pPr>
        <w:pStyle w:val="ListParagraph"/>
        <w:numPr>
          <w:ilvl w:val="0"/>
          <w:numId w:val="24"/>
        </w:numPr>
        <w:spacing w:line="276" w:lineRule="auto"/>
      </w:pPr>
      <w:r w:rsidRPr="00C24BB4">
        <w:t>At least 96% of children between the ages of 3 and the age for compulsory enrollment in primary school should participate in early education and care;</w:t>
      </w:r>
    </w:p>
    <w:p w14:paraId="5F4D87E3" w14:textId="77777777" w:rsidR="00DA3613" w:rsidRPr="00C24BB4" w:rsidRDefault="00DA3613" w:rsidP="00DA3613">
      <w:pPr>
        <w:pStyle w:val="ListParagraph"/>
        <w:numPr>
          <w:ilvl w:val="0"/>
          <w:numId w:val="24"/>
        </w:numPr>
        <w:spacing w:line="276" w:lineRule="auto"/>
      </w:pPr>
      <w:r w:rsidRPr="00C24BB4">
        <w:t>The proportion of people who leave education and training systems early should be below 9%;</w:t>
      </w:r>
    </w:p>
    <w:p w14:paraId="3C630015" w14:textId="77777777" w:rsidR="00DA3613" w:rsidRPr="00A200DA" w:rsidRDefault="00DA3613" w:rsidP="00DA3613">
      <w:pPr>
        <w:pStyle w:val="ListParagraph"/>
        <w:numPr>
          <w:ilvl w:val="0"/>
          <w:numId w:val="24"/>
        </w:numPr>
        <w:spacing w:line="276" w:lineRule="auto"/>
      </w:pPr>
      <w:r w:rsidRPr="00C24BB4">
        <w:t>The proportion of people aged between 25 and 34 who have completed tertiary education should be at least 45%.</w:t>
      </w:r>
    </w:p>
    <w:p w14:paraId="3FE0678D" w14:textId="4498CCC0" w:rsidR="00284525" w:rsidRPr="007E14FF" w:rsidRDefault="00284525" w:rsidP="00284525">
      <w:pPr>
        <w:spacing w:line="276" w:lineRule="auto"/>
        <w:ind w:left="0" w:firstLine="0"/>
        <w:outlineLvl w:val="0"/>
        <w:rPr>
          <w:rFonts w:eastAsia="Times New Roman"/>
          <w:szCs w:val="22"/>
        </w:rPr>
      </w:pPr>
      <w:bookmarkStart w:id="4" w:name="_Toc182807779"/>
      <w:bookmarkEnd w:id="1"/>
      <w:bookmarkEnd w:id="2"/>
      <w:bookmarkEnd w:id="3"/>
      <w:r w:rsidRPr="00316852">
        <w:rPr>
          <w:rFonts w:eastAsia="Times New Roman"/>
          <w:szCs w:val="22"/>
        </w:rPr>
        <w:t xml:space="preserve">The data provided in the </w:t>
      </w:r>
      <w:r w:rsidRPr="00316852">
        <w:rPr>
          <w:rFonts w:eastAsia="Times New Roman"/>
          <w:b/>
          <w:bCs/>
          <w:szCs w:val="22"/>
        </w:rPr>
        <w:t>2023 Education and Training Monitor for Romania</w:t>
      </w:r>
      <w:r w:rsidRPr="00A200DA">
        <w:rPr>
          <w:rStyle w:val="FootnoteReference"/>
          <w:rFonts w:eastAsia="Times New Roman"/>
        </w:rPr>
        <w:footnoteReference w:id="40"/>
      </w:r>
      <w:r w:rsidRPr="00316852">
        <w:rPr>
          <w:rFonts w:eastAsia="Times New Roman"/>
          <w:szCs w:val="22"/>
        </w:rPr>
        <w:t xml:space="preserve"> show that Romania's progress in reaching these targets is very slow. Thus, at the level of 2021, only 75.6% of children between </w:t>
      </w:r>
      <w:r w:rsidRPr="00316852">
        <w:rPr>
          <w:rFonts w:eastAsia="Times New Roman"/>
          <w:szCs w:val="22"/>
        </w:rPr>
        <w:lastRenderedPageBreak/>
        <w:t>the ages of 3 and the age of starting compulsory primary education were enrolled in preschool education (well below the EU average of 92.5%) and far from reaching the target of 96%.</w:t>
      </w:r>
      <w:bookmarkEnd w:id="4"/>
    </w:p>
    <w:p w14:paraId="5FBE1972" w14:textId="77777777" w:rsidR="00D61F67" w:rsidRDefault="00D61F67" w:rsidP="00D61F67">
      <w:pPr>
        <w:spacing w:line="276" w:lineRule="auto"/>
        <w:outlineLvl w:val="0"/>
        <w:rPr>
          <w:rFonts w:eastAsia="Times New Roman"/>
          <w:szCs w:val="22"/>
        </w:rPr>
      </w:pPr>
      <w:bookmarkStart w:id="5" w:name="_Toc181093384"/>
      <w:bookmarkStart w:id="6" w:name="_Toc181268296"/>
      <w:bookmarkStart w:id="7" w:name="_Toc181288186"/>
      <w:bookmarkStart w:id="8" w:name="_Toc182807780"/>
      <w:bookmarkStart w:id="9" w:name="_Toc181093383"/>
      <w:bookmarkStart w:id="10" w:name="_Toc181268295"/>
      <w:bookmarkStart w:id="11" w:name="_Toc181288185"/>
      <w:r w:rsidRPr="00C71881">
        <w:rPr>
          <w:rFonts w:eastAsia="Times New Roman"/>
          <w:szCs w:val="22"/>
        </w:rPr>
        <w:t>Also in 2022, the percentage of 18-24 year olds who left school early increased slightly to 15.6% (above the European average of 9.6%) and far from the target set below 9%.</w:t>
      </w:r>
      <w:bookmarkEnd w:id="8"/>
    </w:p>
    <w:p w14:paraId="1AE323BA" w14:textId="77777777" w:rsidR="00D61F67" w:rsidRDefault="00D61F67" w:rsidP="00D61F67">
      <w:pPr>
        <w:spacing w:line="276" w:lineRule="auto"/>
        <w:outlineLvl w:val="0"/>
        <w:rPr>
          <w:rFonts w:eastAsia="Times New Roman"/>
          <w:szCs w:val="22"/>
        </w:rPr>
      </w:pPr>
      <w:bookmarkStart w:id="12" w:name="_Toc182807781"/>
      <w:bookmarkEnd w:id="9"/>
      <w:bookmarkEnd w:id="10"/>
      <w:bookmarkEnd w:id="11"/>
      <w:r w:rsidRPr="00840286">
        <w:rPr>
          <w:rFonts w:eastAsia="Times New Roman"/>
          <w:szCs w:val="22"/>
        </w:rPr>
        <w:t>Regarding higher education, in 2022, 24.7% of Romanians between the ages of 25 and 34 had a tertiary education diploma, compared to the EU average of 42% (the target for 2030 being 45%).</w:t>
      </w:r>
      <w:bookmarkEnd w:id="12"/>
    </w:p>
    <w:p w14:paraId="68F19CCA" w14:textId="77777777" w:rsidR="00BE33DB" w:rsidRPr="00A200DA" w:rsidRDefault="00BE33DB" w:rsidP="00BE33DB">
      <w:pPr>
        <w:spacing w:line="276" w:lineRule="auto"/>
        <w:outlineLvl w:val="0"/>
        <w:rPr>
          <w:rFonts w:eastAsia="Times New Roman"/>
          <w:szCs w:val="22"/>
        </w:rPr>
      </w:pPr>
      <w:bookmarkStart w:id="13" w:name="_Toc182807782"/>
      <w:bookmarkEnd w:id="5"/>
      <w:bookmarkEnd w:id="6"/>
      <w:bookmarkEnd w:id="7"/>
      <w:r w:rsidRPr="003356AE">
        <w:rPr>
          <w:rFonts w:eastAsia="Times New Roman"/>
          <w:szCs w:val="22"/>
        </w:rPr>
        <w:t xml:space="preserve">It is therefore noted that there are still a number of challenges facing the education system in Romania, also highlighted in the </w:t>
      </w:r>
      <w:r w:rsidRPr="003356AE">
        <w:rPr>
          <w:rFonts w:eastAsia="Times New Roman"/>
          <w:b/>
          <w:bCs/>
          <w:szCs w:val="22"/>
        </w:rPr>
        <w:t>2024 Country Report</w:t>
      </w:r>
      <w:r w:rsidRPr="00A200DA">
        <w:rPr>
          <w:rStyle w:val="FootnoteReference"/>
          <w:rFonts w:eastAsia="Times New Roman"/>
        </w:rPr>
        <w:footnoteReference w:id="41"/>
      </w:r>
      <w:r w:rsidRPr="003356AE">
        <w:rPr>
          <w:rFonts w:eastAsia="Times New Roman"/>
          <w:szCs w:val="22"/>
        </w:rPr>
        <w:t xml:space="preserve">, which presents, among other things, the performance of students in the 2022 PISA tests. The document shows that 48.6% of young Romanians aged 15 experienced difficulties in interpreting and recognizing how a simple situation can be represented mathematically, 41.7% of them could not identify the main idea in a text of moderate length and could not comment on the purpose of the text, 44% were unable to recognize the correct explanation for familiar scientific phenomena and draw evidence-based conclusions. Worryingly, compared to 2012, these shares have increased, moving away from the target to be reached by 2030, according to which the proportion of 15-year-olds with low skills in reading, </w:t>
      </w:r>
      <w:proofErr w:type="spellStart"/>
      <w:r w:rsidRPr="003356AE">
        <w:rPr>
          <w:rFonts w:eastAsia="Times New Roman"/>
          <w:szCs w:val="22"/>
        </w:rPr>
        <w:t>maths</w:t>
      </w:r>
      <w:proofErr w:type="spellEnd"/>
      <w:r w:rsidRPr="003356AE">
        <w:rPr>
          <w:rFonts w:eastAsia="Times New Roman"/>
          <w:szCs w:val="22"/>
        </w:rPr>
        <w:t xml:space="preserve"> and science should be below 15%.</w:t>
      </w:r>
      <w:bookmarkEnd w:id="13"/>
    </w:p>
    <w:p w14:paraId="1818D0B2" w14:textId="77777777" w:rsidR="00BE33DB" w:rsidRPr="00A200DA" w:rsidRDefault="00BE33DB" w:rsidP="00BE33DB">
      <w:pPr>
        <w:spacing w:line="276" w:lineRule="auto"/>
        <w:ind w:left="0" w:firstLine="0"/>
        <w:rPr>
          <w:rFonts w:eastAsia="Times New Roman"/>
        </w:rPr>
      </w:pPr>
      <w:r w:rsidRPr="00762645">
        <w:rPr>
          <w:rFonts w:eastAsia="Times New Roman"/>
        </w:rPr>
        <w:t xml:space="preserve">Thus, Romania continues to face challenges related to both the quality of education and access to education. These challenges are also related to the poor development of the educational infrastructure, as also highlighted in the reports of the Ministry of Education, respectively </w:t>
      </w:r>
      <w:r w:rsidRPr="00762645">
        <w:rPr>
          <w:rFonts w:eastAsia="Times New Roman"/>
          <w:b/>
          <w:bCs/>
        </w:rPr>
        <w:t>Report on the state of higher education in Romania 2022-2023 and Report on the state of pre-university education in Romania 2022-2023.</w:t>
      </w:r>
    </w:p>
    <w:p w14:paraId="1D473DAF" w14:textId="77777777" w:rsidR="00B778E7" w:rsidRPr="007E14FF" w:rsidRDefault="00B778E7" w:rsidP="00B778E7">
      <w:pPr>
        <w:spacing w:line="276" w:lineRule="auto"/>
        <w:ind w:left="0" w:firstLine="0"/>
        <w:rPr>
          <w:rFonts w:eastAsia="Times New Roman"/>
        </w:rPr>
      </w:pPr>
    </w:p>
    <w:p w14:paraId="663AA1F2" w14:textId="77777777" w:rsidR="002872D9" w:rsidRPr="00A200DA" w:rsidRDefault="002872D9" w:rsidP="002872D9">
      <w:pPr>
        <w:spacing w:after="160" w:line="278" w:lineRule="auto"/>
        <w:ind w:left="0" w:firstLine="0"/>
        <w:jc w:val="left"/>
        <w:rPr>
          <w:b/>
        </w:rPr>
      </w:pPr>
      <w:r w:rsidRPr="00A200DA">
        <w:rPr>
          <w:b/>
        </w:rPr>
        <w:t>Priorit</w:t>
      </w:r>
      <w:r>
        <w:rPr>
          <w:b/>
        </w:rPr>
        <w:t>y</w:t>
      </w:r>
      <w:r w:rsidRPr="00A200DA">
        <w:rPr>
          <w:b/>
        </w:rPr>
        <w:t xml:space="preserve"> 7 – </w:t>
      </w:r>
      <w:r w:rsidRPr="00B42104">
        <w:rPr>
          <w:b/>
        </w:rPr>
        <w:t>Sustainable territorial development</w:t>
      </w:r>
    </w:p>
    <w:p w14:paraId="5E9B4096" w14:textId="77777777" w:rsidR="00D614DB" w:rsidRPr="00A200DA" w:rsidRDefault="00D614DB" w:rsidP="00D614DB">
      <w:pPr>
        <w:spacing w:line="278" w:lineRule="auto"/>
        <w:ind w:left="0" w:firstLine="0"/>
      </w:pPr>
      <w:r w:rsidRPr="00F41B33">
        <w:t>Sustainable territorial development represents an important component of development policies at the European and national level, aiming to create a balance between economic growth, environmental protection and social inclusion. This concept is addressed in various strategies and programmatic documents, which define the priorities and actions necessary to ensure sustainable, inclusive and equitable development of territories, whether urban or rural.</w:t>
      </w:r>
    </w:p>
    <w:p w14:paraId="0509AE2F" w14:textId="77777777" w:rsidR="00D614DB" w:rsidRPr="00A200DA" w:rsidRDefault="00D614DB" w:rsidP="00D614DB">
      <w:pPr>
        <w:spacing w:line="278" w:lineRule="auto"/>
        <w:ind w:left="0" w:firstLine="0"/>
      </w:pPr>
      <w:r w:rsidRPr="000F2E14">
        <w:t xml:space="preserve">A fundamental document that provides the global framework for sustainable development is the </w:t>
      </w:r>
      <w:r w:rsidRPr="000F2E14">
        <w:rPr>
          <w:b/>
          <w:bCs/>
        </w:rPr>
        <w:t>2030 Agenda for Sustainable Development</w:t>
      </w:r>
      <w:r w:rsidRPr="00A200DA">
        <w:rPr>
          <w:rStyle w:val="FootnoteReference"/>
          <w:b/>
          <w:bCs/>
        </w:rPr>
        <w:footnoteReference w:id="42"/>
      </w:r>
      <w:r w:rsidRPr="000F2E14">
        <w:t xml:space="preserve">. This global action plan, adopted by the United Nations, sets out 17 sustainable development goals (SDGs) and 169 targets aimed at solving global economic, social and environmental challenges. The objectives are integrated and indivisible, and their universal applicability </w:t>
      </w:r>
      <w:r w:rsidRPr="000F2E14">
        <w:lastRenderedPageBreak/>
        <w:t xml:space="preserve">allows their adaptation to different national and regional contexts. At the European Union level, the implementation of the 2030 Agenda is supported by resolutions such as the </w:t>
      </w:r>
      <w:r w:rsidRPr="000F2E14">
        <w:rPr>
          <w:b/>
          <w:bCs/>
        </w:rPr>
        <w:t>Council Conclusions on the recovery, resilience and sustainability of the cultural and creative sectors</w:t>
      </w:r>
      <w:r w:rsidRPr="00A200DA">
        <w:rPr>
          <w:rStyle w:val="FootnoteReference"/>
          <w:b/>
          <w:bCs/>
        </w:rPr>
        <w:footnoteReference w:id="43"/>
      </w:r>
      <w:r w:rsidRPr="000F2E14">
        <w:t>, which emphasize the importance of integrating culture into sustainable development policies.</w:t>
      </w:r>
    </w:p>
    <w:p w14:paraId="5F6C05EF" w14:textId="77777777" w:rsidR="00D614DB" w:rsidRPr="00A200DA" w:rsidRDefault="00D614DB" w:rsidP="00D614DB">
      <w:pPr>
        <w:spacing w:line="278" w:lineRule="auto"/>
        <w:ind w:left="0" w:firstLine="0"/>
      </w:pPr>
      <w:r w:rsidRPr="009946F5">
        <w:t xml:space="preserve">As regards sustainability reporting at the level of the European Union, </w:t>
      </w:r>
      <w:r w:rsidRPr="009946F5">
        <w:rPr>
          <w:b/>
          <w:bCs/>
        </w:rPr>
        <w:t>the European Court of Auditors, in its 2019 report</w:t>
      </w:r>
      <w:r w:rsidRPr="00A200DA">
        <w:rPr>
          <w:rStyle w:val="FootnoteReference"/>
        </w:rPr>
        <w:footnoteReference w:id="44"/>
      </w:r>
      <w:r w:rsidRPr="009946F5">
        <w:t>, takes stock of the achievement of the Sustainable Development Goals (SDGs) and how European institutions and agencies report their contribution to sustainability. This reporting process involves monitoring and communicating organizational performance in achieving these goals, thereby ensuring transparency and accountability to stakeholders.</w:t>
      </w:r>
    </w:p>
    <w:p w14:paraId="4E2C78E4" w14:textId="77777777" w:rsidR="00D614DB" w:rsidRPr="00A200DA" w:rsidRDefault="00D614DB" w:rsidP="00D614DB">
      <w:pPr>
        <w:spacing w:line="278" w:lineRule="auto"/>
        <w:ind w:left="0" w:firstLine="0"/>
      </w:pPr>
      <w:r w:rsidRPr="00CD1021">
        <w:t xml:space="preserve">At the national level, the </w:t>
      </w:r>
      <w:r w:rsidRPr="00CD1021">
        <w:rPr>
          <w:b/>
          <w:bCs/>
        </w:rPr>
        <w:t>National Strategy for the Sustainable Development of Romania 2030</w:t>
      </w:r>
      <w:r w:rsidRPr="00A200DA">
        <w:rPr>
          <w:rStyle w:val="FootnoteReference"/>
          <w:b/>
          <w:bCs/>
        </w:rPr>
        <w:footnoteReference w:id="45"/>
      </w:r>
      <w:r w:rsidRPr="00CD1021">
        <w:t>, adopted in 2018, establishes the strategic framework for the implementation of the SDGs in Romania. This strategy pursues development on three main pillars: economic, social and environmental. The strategy promotes innovation and resilience, putting the citizen at the center and emphasizing the creation of a fair and clean environment that meets the needs of citizens. Romania, as a member of the European Union, aims to achieve these objectives in an integrated way, thus contributing to the global effort to build a sustainable future.</w:t>
      </w:r>
    </w:p>
    <w:p w14:paraId="1B269F38" w14:textId="77777777" w:rsidR="00D614DB" w:rsidRPr="00A200DA" w:rsidRDefault="00D614DB" w:rsidP="00D614DB">
      <w:pPr>
        <w:spacing w:line="278" w:lineRule="auto"/>
        <w:ind w:left="0" w:firstLine="0"/>
      </w:pPr>
      <w:r w:rsidRPr="00A34E96">
        <w:t xml:space="preserve">Another relevant document is </w:t>
      </w:r>
      <w:r w:rsidRPr="00A34E96">
        <w:rPr>
          <w:b/>
          <w:bCs/>
        </w:rPr>
        <w:t>Romania's National Strategy for Tourism Development 2023-2035</w:t>
      </w:r>
      <w:r w:rsidRPr="00A200DA">
        <w:rPr>
          <w:rStyle w:val="FootnoteReference"/>
          <w:b/>
          <w:bCs/>
        </w:rPr>
        <w:footnoteReference w:id="46"/>
      </w:r>
      <w:r w:rsidRPr="00A34E96">
        <w:t>, which emphasizes the development of sustainable tourism. This aims to promote Romania as a world-class tourist destination, but also to preserve the natural and cultural heritage. Tourism is seen as an engine of economic development, having the potential to create jobs and stimulate economic growth at the local level, including for vulnerable groups. Thus, the strategy contributes significantly to the sustainable development of territories with high tourist potential, while ensuring the protection of natural and cultural resources.</w:t>
      </w:r>
    </w:p>
    <w:p w14:paraId="33B6D966" w14:textId="77777777" w:rsidR="00D614DB" w:rsidRPr="00A200DA" w:rsidRDefault="00D614DB" w:rsidP="00D614DB">
      <w:pPr>
        <w:spacing w:line="278" w:lineRule="auto"/>
        <w:ind w:left="0" w:firstLine="0"/>
      </w:pPr>
      <w:r w:rsidRPr="00216595">
        <w:t xml:space="preserve">Another important document is the </w:t>
      </w:r>
      <w:r w:rsidRPr="00216595">
        <w:rPr>
          <w:b/>
          <w:bCs/>
        </w:rPr>
        <w:t>Tourism Investment Masterplan</w:t>
      </w:r>
      <w:r w:rsidRPr="00A200DA">
        <w:rPr>
          <w:rStyle w:val="FootnoteReference"/>
          <w:b/>
          <w:bCs/>
        </w:rPr>
        <w:footnoteReference w:id="47"/>
      </w:r>
      <w:r w:rsidRPr="00216595">
        <w:t>, which establishes development directions and investment priorities in tourism infrastructure. It aims to create internationally competitive tourist destinations, stimulate local economic development and increase the attractiveness of regions with high tourist potential. The Masterplan contributes to an integrated approach to tourism development, in accordance with the general directions established in the National Strategy for Tourism Development.</w:t>
      </w:r>
    </w:p>
    <w:p w14:paraId="08BEDE6C" w14:textId="77777777" w:rsidR="00D614DB" w:rsidRPr="00A200DA" w:rsidRDefault="00D614DB" w:rsidP="00D614DB">
      <w:pPr>
        <w:spacing w:line="278" w:lineRule="auto"/>
        <w:ind w:left="0" w:firstLine="0"/>
      </w:pPr>
      <w:r w:rsidRPr="00C94F90">
        <w:lastRenderedPageBreak/>
        <w:t xml:space="preserve">In the cultural </w:t>
      </w:r>
      <w:r>
        <w:t>field</w:t>
      </w:r>
      <w:r w:rsidRPr="00C94F90">
        <w:t xml:space="preserve">, the </w:t>
      </w:r>
      <w:r w:rsidRPr="00C94F90">
        <w:rPr>
          <w:b/>
          <w:bCs/>
        </w:rPr>
        <w:t>Strategy for Culture and National Heritage 2016-2022</w:t>
      </w:r>
      <w:r w:rsidRPr="00A200DA">
        <w:rPr>
          <w:rStyle w:val="FootnoteReference"/>
          <w:b/>
          <w:bCs/>
        </w:rPr>
        <w:footnoteReference w:id="48"/>
      </w:r>
      <w:r w:rsidRPr="00C94F90">
        <w:t xml:space="preserve"> establishes the directions and measures necessary to protect and capitalize on Romania's cultural heritage. It contributes to sustainable territorial development by promoting an integrated approach that combines heritage conservation with the socio-economic development of communities.</w:t>
      </w:r>
    </w:p>
    <w:p w14:paraId="1D6789D6" w14:textId="77777777" w:rsidR="00D614DB" w:rsidRPr="00A200DA" w:rsidRDefault="00D614DB" w:rsidP="00D614DB">
      <w:pPr>
        <w:spacing w:line="278" w:lineRule="auto"/>
        <w:ind w:left="0" w:firstLine="0"/>
      </w:pPr>
      <w:r w:rsidRPr="00224CD6">
        <w:t xml:space="preserve">At regional level, the </w:t>
      </w:r>
      <w:r w:rsidRPr="00224CD6">
        <w:rPr>
          <w:b/>
          <w:bCs/>
        </w:rPr>
        <w:t xml:space="preserve">Regional Development Plan of the South-West </w:t>
      </w:r>
      <w:proofErr w:type="spellStart"/>
      <w:r w:rsidRPr="00224CD6">
        <w:rPr>
          <w:b/>
          <w:bCs/>
        </w:rPr>
        <w:t>Oltenia</w:t>
      </w:r>
      <w:proofErr w:type="spellEnd"/>
      <w:r w:rsidRPr="00224CD6">
        <w:rPr>
          <w:b/>
          <w:bCs/>
        </w:rPr>
        <w:t xml:space="preserve"> Region 2021-2027</w:t>
      </w:r>
      <w:r w:rsidRPr="00A200DA">
        <w:rPr>
          <w:rStyle w:val="FootnoteReference"/>
        </w:rPr>
        <w:footnoteReference w:id="49"/>
      </w:r>
      <w:r w:rsidRPr="00224CD6">
        <w:t xml:space="preserve"> plays an essential role in prioritizing and implementing projects aimed at socio-economic development and reducing the gaps compared to the more developed regions of the European Union. This strategic plan is based on the socio-economic analysis of the region and includes priorities and actions that reflect the specific development needs of the South-West </w:t>
      </w:r>
      <w:proofErr w:type="spellStart"/>
      <w:r w:rsidRPr="00224CD6">
        <w:t>Oltenia</w:t>
      </w:r>
      <w:proofErr w:type="spellEnd"/>
      <w:r w:rsidRPr="00224CD6">
        <w:t xml:space="preserve"> region. By promoting a balanced regional development, the plan contributes to territorial cohesion and to the stimulation of inter-regional cooperation.</w:t>
      </w:r>
    </w:p>
    <w:p w14:paraId="281F9DDA" w14:textId="77777777" w:rsidR="00D614DB" w:rsidRDefault="00D614DB" w:rsidP="00D614DB">
      <w:pPr>
        <w:spacing w:after="160" w:line="278" w:lineRule="auto"/>
        <w:ind w:left="0" w:firstLine="0"/>
      </w:pPr>
      <w:r w:rsidRPr="00534748">
        <w:t>Thus, sustainable territorial development is a central objective in national and European policies, supported by a strategic framework that includes economic, social and environmental dimensions. Through national and regional strategies, Romania aims to actively contribute to the achievement of sustainable development objectives, while ensuring coherence between sectoral policies and the specific needs of its regions.</w:t>
      </w:r>
    </w:p>
    <w:p w14:paraId="452EED90" w14:textId="77777777" w:rsidR="00B778E7" w:rsidRPr="007E14FF" w:rsidRDefault="00B778E7" w:rsidP="00B778E7">
      <w:pPr>
        <w:spacing w:after="160" w:line="278" w:lineRule="auto"/>
        <w:ind w:left="0" w:firstLine="0"/>
        <w:jc w:val="left"/>
      </w:pPr>
    </w:p>
    <w:p w14:paraId="4730447F" w14:textId="77777777" w:rsidR="00C9339A" w:rsidRPr="00A200DA" w:rsidRDefault="00C9339A" w:rsidP="00C9339A">
      <w:pPr>
        <w:spacing w:after="160" w:line="278" w:lineRule="auto"/>
        <w:ind w:left="0" w:firstLine="0"/>
        <w:jc w:val="left"/>
        <w:rPr>
          <w:b/>
          <w:bCs/>
        </w:rPr>
      </w:pPr>
      <w:r w:rsidRPr="00A200DA">
        <w:rPr>
          <w:b/>
        </w:rPr>
        <w:t>Priorit</w:t>
      </w:r>
      <w:r>
        <w:rPr>
          <w:b/>
        </w:rPr>
        <w:t>y</w:t>
      </w:r>
      <w:r w:rsidRPr="00A200DA">
        <w:rPr>
          <w:b/>
        </w:rPr>
        <w:t xml:space="preserve"> 8 – </w:t>
      </w:r>
      <w:r>
        <w:rPr>
          <w:b/>
        </w:rPr>
        <w:t>Technical assistance</w:t>
      </w:r>
    </w:p>
    <w:p w14:paraId="5DC9528C" w14:textId="77777777" w:rsidR="00B75720" w:rsidRPr="00A200DA" w:rsidRDefault="00B75720" w:rsidP="00B75720">
      <w:pPr>
        <w:spacing w:line="276" w:lineRule="auto"/>
        <w:ind w:left="0" w:firstLine="0"/>
      </w:pPr>
      <w:r w:rsidRPr="00A02F22">
        <w:t>Technical assistance has an essential role in the effective implementation of cohesion policies and the management of European funds, contributing to the strengthening of the administrative and institutional capacity of beneficiaries and authorities involved in program management. This is reflected in multiple strategic documents and reports, which emphasize the need to develop institutional skills to ensure the optimal absorption of funds and their transparent management.</w:t>
      </w:r>
    </w:p>
    <w:p w14:paraId="0F70A452" w14:textId="77777777" w:rsidR="00B75720" w:rsidRDefault="00B75720" w:rsidP="00B75720">
      <w:pPr>
        <w:spacing w:line="276" w:lineRule="auto"/>
      </w:pPr>
      <w:r w:rsidRPr="00477C04">
        <w:t xml:space="preserve">A reference document in this area is represented by the </w:t>
      </w:r>
      <w:r w:rsidRPr="00477C04">
        <w:rPr>
          <w:b/>
          <w:bCs/>
        </w:rPr>
        <w:t>Administrative Capacity Roadmap – Practical Toolkit</w:t>
      </w:r>
      <w:r w:rsidRPr="00A200DA">
        <w:rPr>
          <w:rStyle w:val="FootnoteReference"/>
          <w:b/>
          <w:bCs/>
        </w:rPr>
        <w:footnoteReference w:id="50"/>
      </w:r>
      <w:r w:rsidRPr="00477C04">
        <w:t>, published by the European Commission in 2020. This toolkit provides guidelines and examples of good practice for strengthening administrative capacity within cohesion policy. It is emphasized that good governance and strong institutions are essential for the efficient absorption of European funds. The document promotes the idea that member states should develop roadmaps for improving administrative capacity, tailored to their specific needs.</w:t>
      </w:r>
    </w:p>
    <w:p w14:paraId="040E04AB" w14:textId="77777777" w:rsidR="005A6DD1" w:rsidRPr="00A200DA" w:rsidRDefault="005A6DD1" w:rsidP="005A6DD1">
      <w:pPr>
        <w:spacing w:line="276" w:lineRule="auto"/>
        <w:rPr>
          <w:szCs w:val="22"/>
        </w:rPr>
      </w:pPr>
      <w:r w:rsidRPr="00C65807">
        <w:lastRenderedPageBreak/>
        <w:t xml:space="preserve">Starting from the recommendations formulated by the European Commission in the previously mentioned document, the South-West </w:t>
      </w:r>
      <w:proofErr w:type="spellStart"/>
      <w:r w:rsidRPr="00C65807">
        <w:t>Oltenia</w:t>
      </w:r>
      <w:proofErr w:type="spellEnd"/>
      <w:r w:rsidRPr="00C65807">
        <w:t xml:space="preserve"> Regional Development Agency developed the </w:t>
      </w:r>
      <w:r w:rsidRPr="00C65807">
        <w:rPr>
          <w:b/>
          <w:bCs/>
        </w:rPr>
        <w:t>Roadmap for strengthening the administrative capacity of the RP beneficiaries and RDA as MA of RP 2021-2027</w:t>
      </w:r>
      <w:r w:rsidRPr="00C65807">
        <w:t>.</w:t>
      </w:r>
      <w:r w:rsidRPr="00A200DA">
        <w:rPr>
          <w:rStyle w:val="FootnoteReference"/>
          <w:b/>
          <w:bCs/>
        </w:rPr>
        <w:footnoteReference w:id="51"/>
      </w:r>
      <w:r w:rsidRPr="00A200DA">
        <w:t xml:space="preserve">. </w:t>
      </w:r>
      <w:r w:rsidRPr="0075043D">
        <w:t>This document provides a short- and medium-term plan of concrete measures to strengthen the administrative capacity at the regional level. The main objective of this roadmap is to support the structures involved in the management of the South</w:t>
      </w:r>
      <w:r>
        <w:t>-</w:t>
      </w:r>
      <w:r w:rsidRPr="0075043D">
        <w:t xml:space="preserve">West Regional Operational </w:t>
      </w:r>
      <w:proofErr w:type="spellStart"/>
      <w:r w:rsidRPr="0075043D">
        <w:t>Programme</w:t>
      </w:r>
      <w:proofErr w:type="spellEnd"/>
      <w:r w:rsidRPr="0075043D">
        <w:t xml:space="preserve">, facilitating the preparation of projects, their evaluation, contracting, implementation and effective monitoring. Priority 8 - Technical assistance from RP SW </w:t>
      </w:r>
      <w:proofErr w:type="spellStart"/>
      <w:r w:rsidRPr="0075043D">
        <w:t>Oltenia</w:t>
      </w:r>
      <w:proofErr w:type="spellEnd"/>
      <w:r w:rsidRPr="0075043D">
        <w:t xml:space="preserve"> reflects the need to strengthen the administrative and institutional capacity of the parties involved in carrying out operations financed from the ERDF, both at the level of beneficiaries and at the level of MA RP</w:t>
      </w:r>
      <w:r w:rsidRPr="00A200DA">
        <w:rPr>
          <w:szCs w:val="22"/>
        </w:rPr>
        <w:t xml:space="preserve">. </w:t>
      </w:r>
      <w:r w:rsidRPr="001D14F7">
        <w:rPr>
          <w:szCs w:val="22"/>
        </w:rPr>
        <w:t>The activities supported through Priority 8 – Technical Assistance will contribute to the effective implementation of the RP, on the one hand by training a specialized staff and ensuring its stability and, on the other hand, by supporting the beneficiaries in understanding and complying with the requirements of the program, preparing mature projects and implementing them efficiently as well as by increasing the administrative capacity of the beneficiaries. The objective of the Technical Assistance is to support the institutions involved in the SWO RP management and the beneficiaries/partners, in order to implement the Program efficiently and transparently</w:t>
      </w:r>
      <w:r w:rsidRPr="00A200DA">
        <w:rPr>
          <w:szCs w:val="22"/>
        </w:rPr>
        <w:t>.</w:t>
      </w:r>
    </w:p>
    <w:p w14:paraId="28D5D5D6" w14:textId="77777777" w:rsidR="005A6DD1" w:rsidRPr="00A200DA" w:rsidRDefault="005A6DD1" w:rsidP="005A6DD1">
      <w:pPr>
        <w:spacing w:line="276" w:lineRule="auto"/>
        <w:ind w:left="0" w:firstLine="0"/>
      </w:pPr>
      <w:r w:rsidRPr="00026148">
        <w:t>Another important report in the field of technical assistance and administrative capacity building is the one entitled "</w:t>
      </w:r>
      <w:r w:rsidRPr="00026148">
        <w:rPr>
          <w:b/>
          <w:bCs/>
        </w:rPr>
        <w:t>Strengthening the governance of EU funds in the framework of cohesion policy</w:t>
      </w:r>
      <w:r w:rsidRPr="00026148">
        <w:t>"</w:t>
      </w:r>
      <w:r w:rsidRPr="00A200DA">
        <w:rPr>
          <w:rStyle w:val="FootnoteReference"/>
          <w:b/>
          <w:bCs/>
        </w:rPr>
        <w:footnoteReference w:id="52"/>
      </w:r>
      <w:r w:rsidRPr="00026148">
        <w:t>, published by the OECD in 2020</w:t>
      </w:r>
      <w:r>
        <w:t xml:space="preserve">. </w:t>
      </w:r>
      <w:r w:rsidRPr="00A40B21">
        <w:t>It was carried out following a pilot action that involved several Management Authorities (MAs) and Intermediate Bodies, aiming to develop roadmaps for improving administrative capacity. The study identifies a number of common challenges, such as efficient staff management, administrative processes and the need for stability in public investment. This document provides recommendations for increasing institutional capacity and for the efficient management of European funds. The OECD has developed an analytical framework with four dimensions – people management, organizational management, strategic planning and framework conditions – to analyze the challenges and capacity gaps that managing authorities face in managing these funds.</w:t>
      </w:r>
    </w:p>
    <w:p w14:paraId="2E7931AF" w14:textId="77777777" w:rsidR="005A6DD1" w:rsidRPr="00A200DA" w:rsidRDefault="005A6DD1" w:rsidP="005A6DD1">
      <w:pPr>
        <w:spacing w:line="276" w:lineRule="auto"/>
        <w:ind w:left="0" w:firstLine="0"/>
      </w:pPr>
      <w:r w:rsidRPr="00C532D7">
        <w:t>Also, the European Commission published "</w:t>
      </w:r>
      <w:r w:rsidRPr="00C532D7">
        <w:rPr>
          <w:b/>
          <w:bCs/>
        </w:rPr>
        <w:t>Characteristics and performance of the public administration in the EU28: Romania</w:t>
      </w:r>
      <w:r w:rsidRPr="00C532D7">
        <w:t>"</w:t>
      </w:r>
      <w:r w:rsidRPr="00A200DA">
        <w:rPr>
          <w:rStyle w:val="FootnoteReference"/>
          <w:b/>
          <w:bCs/>
        </w:rPr>
        <w:footnoteReference w:id="53"/>
      </w:r>
      <w:r w:rsidRPr="00C532D7">
        <w:t>, a document that provides a detailed assessment of the Romanian governmental capacity and performance. The document emphasizes the importance of transparency, accountability in public service and human resources management, as essential factors for the successful implementation of European funds.</w:t>
      </w:r>
    </w:p>
    <w:p w14:paraId="7A73D03A" w14:textId="77777777" w:rsidR="005A6DD1" w:rsidRDefault="005A6DD1" w:rsidP="005A6DD1">
      <w:pPr>
        <w:spacing w:line="276" w:lineRule="auto"/>
        <w:ind w:left="0" w:firstLine="0"/>
      </w:pPr>
      <w:r w:rsidRPr="00C646A5">
        <w:lastRenderedPageBreak/>
        <w:t xml:space="preserve">The evaluation of the interventions carried out within the Regional Operational </w:t>
      </w:r>
      <w:proofErr w:type="spellStart"/>
      <w:r w:rsidRPr="00C646A5">
        <w:t>Programme</w:t>
      </w:r>
      <w:proofErr w:type="spellEnd"/>
      <w:r w:rsidRPr="00C646A5">
        <w:t xml:space="preserve"> (ROP) 2014-2020 is another central point in the analysis of the specialized literature that provides a general picture of the technical assistance in the implementation of a Regional </w:t>
      </w:r>
      <w:proofErr w:type="spellStart"/>
      <w:r w:rsidRPr="00C646A5">
        <w:t>Programme</w:t>
      </w:r>
      <w:proofErr w:type="spellEnd"/>
      <w:r w:rsidRPr="00C646A5">
        <w:t xml:space="preserve"> in Romania</w:t>
      </w:r>
      <w:r w:rsidRPr="00A200DA">
        <w:t xml:space="preserve">. </w:t>
      </w:r>
      <w:r w:rsidRPr="00026C8D">
        <w:t xml:space="preserve">The 2014-2020 ROP interventions evaluation reports present the conclusions of the evaluations carried out from the perspective of effectiveness, relevance, efficiency, impact and sustainability of the use of European funds in the development of infrastructure in various fields: from road, educational, social and health infrastructure, to energy efficiency, urban development, CLLD, </w:t>
      </w:r>
      <w:proofErr w:type="spellStart"/>
      <w:r w:rsidRPr="00026C8D">
        <w:t>cadastre</w:t>
      </w:r>
      <w:proofErr w:type="spellEnd"/>
      <w:r w:rsidRPr="00026C8D">
        <w:t>, to technology transfer, SME competitiveness and tourism and heritage development. These reports analyze the authorities' ability to manage resources and implement interventions financed by European funds, providing important lessons for improving future interventions in the same areas.</w:t>
      </w:r>
    </w:p>
    <w:p w14:paraId="4808301D" w14:textId="77777777" w:rsidR="005A6DD1" w:rsidRPr="00A200DA" w:rsidRDefault="005A6DD1" w:rsidP="005A6DD1">
      <w:pPr>
        <w:spacing w:line="276" w:lineRule="auto"/>
        <w:ind w:left="0" w:firstLine="0"/>
      </w:pPr>
      <w:r w:rsidRPr="00C42366">
        <w:t xml:space="preserve">In the context of the development of administrative capacity, </w:t>
      </w:r>
      <w:r w:rsidRPr="00C42366">
        <w:rPr>
          <w:b/>
          <w:bCs/>
        </w:rPr>
        <w:t xml:space="preserve">the evaluation reports of interventions within the Operational </w:t>
      </w:r>
      <w:proofErr w:type="spellStart"/>
      <w:r w:rsidRPr="00C42366">
        <w:rPr>
          <w:b/>
          <w:bCs/>
        </w:rPr>
        <w:t>Programme</w:t>
      </w:r>
      <w:proofErr w:type="spellEnd"/>
      <w:r w:rsidRPr="00C42366">
        <w:rPr>
          <w:b/>
          <w:bCs/>
        </w:rPr>
        <w:t xml:space="preserve"> Administrative Capacity (OPAC) 2014-2020</w:t>
      </w:r>
      <w:r w:rsidRPr="00C42366">
        <w:t xml:space="preserve"> highlighted important findings related to the need to strengthen public institutions in Romania. These reports highlight the impact of technical assistance in improving administrative performance, particularly in the implementation of European </w:t>
      </w:r>
      <w:proofErr w:type="spellStart"/>
      <w:r w:rsidRPr="00C42366">
        <w:t>programmes</w:t>
      </w:r>
      <w:proofErr w:type="spellEnd"/>
      <w:r w:rsidRPr="00C42366">
        <w:t>.</w:t>
      </w:r>
    </w:p>
    <w:p w14:paraId="7BEB1FE6" w14:textId="7D2AA9DD" w:rsidR="00B778E7" w:rsidRPr="00B778E7" w:rsidRDefault="005A6DD1" w:rsidP="005A6DD1">
      <w:pPr>
        <w:rPr>
          <w:lang w:val="ro-RO"/>
        </w:rPr>
      </w:pPr>
      <w:r w:rsidRPr="007956DB">
        <w:t>Thus, the analyzed documents emphasize the importance of strengthening strong, well-prepared and efficient public institutions for the optimal absorption of funds and for the successful implementation of cohesion policy in Romania and at European level.</w:t>
      </w:r>
    </w:p>
    <w:sectPr w:rsidR="00B778E7" w:rsidRPr="00B778E7" w:rsidSect="002E562C">
      <w:headerReference w:type="default" r:id="rId8"/>
      <w:footerReference w:type="default" r:id="rId9"/>
      <w:headerReference w:type="first" r:id="rId10"/>
      <w:footerReference w:type="first" r:id="rId11"/>
      <w:pgSz w:w="12240" w:h="15840"/>
      <w:pgMar w:top="1440" w:right="1440" w:bottom="1440" w:left="1440" w:header="227"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C4ABD" w14:textId="77777777" w:rsidR="006A111E" w:rsidRDefault="006A111E" w:rsidP="00EE55C8">
      <w:pPr>
        <w:spacing w:after="0" w:line="240" w:lineRule="auto"/>
      </w:pPr>
      <w:r>
        <w:separator/>
      </w:r>
    </w:p>
  </w:endnote>
  <w:endnote w:type="continuationSeparator" w:id="0">
    <w:p w14:paraId="3334BAE7" w14:textId="77777777" w:rsidR="006A111E" w:rsidRDefault="006A111E" w:rsidP="00EE55C8">
      <w:pPr>
        <w:spacing w:after="0" w:line="240" w:lineRule="auto"/>
      </w:pPr>
      <w:r>
        <w:continuationSeparator/>
      </w:r>
    </w:p>
  </w:endnote>
  <w:endnote w:type="continuationNotice" w:id="1">
    <w:p w14:paraId="6BE48A83" w14:textId="77777777" w:rsidR="006A111E" w:rsidRDefault="006A11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 w:name="Eastman Roman Trial">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1770" w14:textId="48285990" w:rsidR="00EE55C8" w:rsidRDefault="00115092" w:rsidP="00EE55C8">
    <w:pPr>
      <w:pStyle w:val="Footer"/>
      <w:jc w:val="right"/>
    </w:pPr>
    <w:r>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421BC0F6" wp14:editId="2EB9B3B0">
          <wp:simplePos x="0" y="0"/>
          <wp:positionH relativeFrom="margin">
            <wp:align>center</wp:align>
          </wp:positionH>
          <wp:positionV relativeFrom="margin">
            <wp:posOffset>7369175</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14AF50F6" wp14:editId="177AFD86">
          <wp:simplePos x="0" y="0"/>
          <wp:positionH relativeFrom="margin">
            <wp:align>center</wp:align>
          </wp:positionH>
          <wp:positionV relativeFrom="margin">
            <wp:posOffset>8525510</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sdt>
      <w:sdtPr>
        <w:id w:val="-467673250"/>
        <w:docPartObj>
          <w:docPartGallery w:val="Page Numbers (Bottom of Page)"/>
          <w:docPartUnique/>
        </w:docPartObj>
      </w:sdtPr>
      <w:sdtEndPr>
        <w:rPr>
          <w:noProof/>
        </w:rPr>
      </w:sdtEndPr>
      <w:sdtContent>
        <w:r w:rsidR="00EE55C8">
          <w:fldChar w:fldCharType="begin"/>
        </w:r>
        <w:r w:rsidR="00EE55C8">
          <w:instrText xml:space="preserve"> PAGE   \* MERGEFORMAT </w:instrText>
        </w:r>
        <w:r w:rsidR="00EE55C8">
          <w:fldChar w:fldCharType="separate"/>
        </w:r>
        <w:r w:rsidR="00EE55C8">
          <w:rPr>
            <w:noProof/>
          </w:rPr>
          <w:t>2</w:t>
        </w:r>
        <w:r w:rsidR="00EE55C8">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8829138"/>
      <w:docPartObj>
        <w:docPartGallery w:val="Page Numbers (Bottom of Page)"/>
        <w:docPartUnique/>
      </w:docPartObj>
    </w:sdtPr>
    <w:sdtEndPr>
      <w:rPr>
        <w:noProof/>
      </w:rPr>
    </w:sdtEndPr>
    <w:sdtContent>
      <w:p w14:paraId="0216D2FD" w14:textId="19C46CCC" w:rsidR="002E562C" w:rsidRDefault="002E562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4013164" w14:textId="77777777" w:rsidR="002E562C" w:rsidRDefault="002E5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139DE" w14:textId="77777777" w:rsidR="006A111E" w:rsidRDefault="006A111E" w:rsidP="00EE55C8">
      <w:pPr>
        <w:spacing w:after="0" w:line="240" w:lineRule="auto"/>
      </w:pPr>
      <w:r>
        <w:separator/>
      </w:r>
    </w:p>
  </w:footnote>
  <w:footnote w:type="continuationSeparator" w:id="0">
    <w:p w14:paraId="23E243B7" w14:textId="77777777" w:rsidR="006A111E" w:rsidRDefault="006A111E" w:rsidP="00EE55C8">
      <w:pPr>
        <w:spacing w:after="0" w:line="240" w:lineRule="auto"/>
      </w:pPr>
      <w:r>
        <w:continuationSeparator/>
      </w:r>
    </w:p>
  </w:footnote>
  <w:footnote w:type="continuationNotice" w:id="1">
    <w:p w14:paraId="272830E1" w14:textId="77777777" w:rsidR="006A111E" w:rsidRDefault="006A111E">
      <w:pPr>
        <w:spacing w:after="0" w:line="240" w:lineRule="auto"/>
      </w:pPr>
    </w:p>
  </w:footnote>
  <w:footnote w:id="2">
    <w:p w14:paraId="288CCD9A" w14:textId="77777777" w:rsidR="00DF71C1" w:rsidRPr="007E14FF" w:rsidRDefault="00DF71C1" w:rsidP="00DF71C1">
      <w:pPr>
        <w:pStyle w:val="FootnoteText"/>
        <w:spacing w:after="0" w:line="240" w:lineRule="auto"/>
      </w:pPr>
      <w:r w:rsidRPr="007E14FF">
        <w:rPr>
          <w:rStyle w:val="FootnoteReference"/>
        </w:rPr>
        <w:footnoteRef/>
      </w:r>
      <w:r w:rsidRPr="007E14FF">
        <w:t xml:space="preserve"> </w:t>
      </w:r>
      <w:r w:rsidRPr="004C4D94">
        <w:t xml:space="preserve">European </w:t>
      </w:r>
      <w:proofErr w:type="spellStart"/>
      <w:r w:rsidRPr="004C4D94">
        <w:t>Commission</w:t>
      </w:r>
      <w:proofErr w:type="spellEnd"/>
      <w:r w:rsidRPr="007E14FF">
        <w:t xml:space="preserve">, </w:t>
      </w:r>
      <w:r w:rsidRPr="00BD6AFE">
        <w:t xml:space="preserve">A </w:t>
      </w:r>
      <w:proofErr w:type="spellStart"/>
      <w:r w:rsidRPr="00BD6AFE">
        <w:t>Strategy</w:t>
      </w:r>
      <w:proofErr w:type="spellEnd"/>
      <w:r w:rsidRPr="00BD6AFE">
        <w:t xml:space="preserve"> for </w:t>
      </w:r>
      <w:proofErr w:type="spellStart"/>
      <w:r w:rsidRPr="00BD6AFE">
        <w:t>SMEs</w:t>
      </w:r>
      <w:proofErr w:type="spellEnd"/>
      <w:r w:rsidRPr="00BD6AFE">
        <w:t xml:space="preserve"> for a </w:t>
      </w:r>
      <w:proofErr w:type="spellStart"/>
      <w:r w:rsidRPr="00BD6AFE">
        <w:t>sustainable</w:t>
      </w:r>
      <w:proofErr w:type="spellEnd"/>
      <w:r w:rsidRPr="00BD6AFE">
        <w:t xml:space="preserve"> </w:t>
      </w:r>
      <w:proofErr w:type="spellStart"/>
      <w:r w:rsidRPr="00BD6AFE">
        <w:t>and</w:t>
      </w:r>
      <w:proofErr w:type="spellEnd"/>
      <w:r w:rsidRPr="00BD6AFE">
        <w:t xml:space="preserve"> digital Europe</w:t>
      </w:r>
      <w:r w:rsidRPr="007E14FF">
        <w:t xml:space="preserve">, 2020, </w:t>
      </w:r>
      <w:hyperlink r:id="rId1" w:history="1">
        <w:r w:rsidRPr="007E14FF">
          <w:rPr>
            <w:rStyle w:val="Hyperlink"/>
          </w:rPr>
          <w:t>link</w:t>
        </w:r>
      </w:hyperlink>
    </w:p>
  </w:footnote>
  <w:footnote w:id="3">
    <w:p w14:paraId="3CB8509B" w14:textId="77777777" w:rsidR="00DF71C1" w:rsidRPr="007E14FF" w:rsidRDefault="00DF71C1" w:rsidP="00DF71C1">
      <w:pPr>
        <w:pStyle w:val="FootnoteText"/>
        <w:spacing w:after="0" w:line="240" w:lineRule="auto"/>
      </w:pPr>
      <w:r w:rsidRPr="007E14FF">
        <w:rPr>
          <w:rStyle w:val="FootnoteReference"/>
        </w:rPr>
        <w:footnoteRef/>
      </w:r>
      <w:r w:rsidRPr="007E14FF">
        <w:t xml:space="preserve"> </w:t>
      </w:r>
      <w:r w:rsidRPr="004C4D94">
        <w:t xml:space="preserve">European </w:t>
      </w:r>
      <w:proofErr w:type="spellStart"/>
      <w:r w:rsidRPr="004C4D94">
        <w:t>Commission</w:t>
      </w:r>
      <w:proofErr w:type="spellEnd"/>
      <w:r w:rsidRPr="007E14FF">
        <w:t xml:space="preserve">, </w:t>
      </w:r>
      <w:proofErr w:type="spellStart"/>
      <w:r w:rsidRPr="003E114F">
        <w:t>Research</w:t>
      </w:r>
      <w:proofErr w:type="spellEnd"/>
      <w:r w:rsidRPr="003E114F">
        <w:t xml:space="preserve"> </w:t>
      </w:r>
      <w:proofErr w:type="spellStart"/>
      <w:r w:rsidRPr="003E114F">
        <w:t>and</w:t>
      </w:r>
      <w:proofErr w:type="spellEnd"/>
      <w:r w:rsidRPr="003E114F">
        <w:t xml:space="preserve"> </w:t>
      </w:r>
      <w:proofErr w:type="spellStart"/>
      <w:r w:rsidRPr="003E114F">
        <w:t>Innovation</w:t>
      </w:r>
      <w:proofErr w:type="spellEnd"/>
      <w:r w:rsidRPr="003E114F">
        <w:t xml:space="preserve"> </w:t>
      </w:r>
      <w:proofErr w:type="spellStart"/>
      <w:r w:rsidRPr="003E114F">
        <w:t>Strategy</w:t>
      </w:r>
      <w:proofErr w:type="spellEnd"/>
      <w:r w:rsidRPr="003E114F">
        <w:t xml:space="preserve"> </w:t>
      </w:r>
      <w:r w:rsidRPr="007E14FF">
        <w:t xml:space="preserve">2020-2024, </w:t>
      </w:r>
      <w:hyperlink r:id="rId2" w:history="1">
        <w:r w:rsidRPr="007E14FF">
          <w:rPr>
            <w:rStyle w:val="Hyperlink"/>
          </w:rPr>
          <w:t>Link</w:t>
        </w:r>
      </w:hyperlink>
    </w:p>
  </w:footnote>
  <w:footnote w:id="4">
    <w:p w14:paraId="05F924FA" w14:textId="77777777" w:rsidR="00DF71C1" w:rsidRPr="007E14FF" w:rsidRDefault="00DF71C1" w:rsidP="00DF71C1">
      <w:pPr>
        <w:pStyle w:val="FootnoteText"/>
        <w:spacing w:after="0" w:line="240" w:lineRule="auto"/>
      </w:pPr>
      <w:r w:rsidRPr="007E14FF">
        <w:rPr>
          <w:rStyle w:val="FootnoteReference"/>
        </w:rPr>
        <w:footnoteRef/>
      </w:r>
      <w:r w:rsidRPr="007E14FF">
        <w:t xml:space="preserve"> </w:t>
      </w:r>
      <w:r w:rsidRPr="00C6209D">
        <w:rPr>
          <w:rFonts w:eastAsia="Times New Roman"/>
          <w:szCs w:val="22"/>
          <w:lang w:val="en-US"/>
        </w:rPr>
        <w:t>The Ministry of European Investments and Projects</w:t>
      </w:r>
      <w:r w:rsidRPr="007E14FF">
        <w:t xml:space="preserve">, </w:t>
      </w:r>
      <w:proofErr w:type="spellStart"/>
      <w:r>
        <w:t>Partnership</w:t>
      </w:r>
      <w:proofErr w:type="spellEnd"/>
      <w:r>
        <w:t xml:space="preserve"> Agreement</w:t>
      </w:r>
      <w:r w:rsidRPr="007E14FF">
        <w:t xml:space="preserve"> 2021-2027, 2022, </w:t>
      </w:r>
      <w:hyperlink r:id="rId3" w:history="1">
        <w:r w:rsidRPr="007E14FF">
          <w:rPr>
            <w:rStyle w:val="Hyperlink"/>
          </w:rPr>
          <w:t>link</w:t>
        </w:r>
      </w:hyperlink>
    </w:p>
  </w:footnote>
  <w:footnote w:id="5">
    <w:p w14:paraId="420C360E" w14:textId="77777777" w:rsidR="00DF71C1" w:rsidRPr="007E14FF" w:rsidRDefault="00DF71C1" w:rsidP="00DF71C1">
      <w:pPr>
        <w:pStyle w:val="FootnoteText"/>
        <w:spacing w:after="0" w:line="240" w:lineRule="auto"/>
      </w:pPr>
      <w:r w:rsidRPr="007E14FF">
        <w:rPr>
          <w:rStyle w:val="FootnoteReference"/>
        </w:rPr>
        <w:footnoteRef/>
      </w:r>
      <w:r w:rsidRPr="007E14FF">
        <w:t xml:space="preserve"> </w:t>
      </w:r>
      <w:proofErr w:type="spellStart"/>
      <w:r w:rsidRPr="00C71457">
        <w:rPr>
          <w:szCs w:val="22"/>
        </w:rPr>
        <w:t>Ministry</w:t>
      </w:r>
      <w:proofErr w:type="spellEnd"/>
      <w:r w:rsidRPr="00C71457">
        <w:rPr>
          <w:szCs w:val="22"/>
        </w:rPr>
        <w:t xml:space="preserve"> of </w:t>
      </w:r>
      <w:proofErr w:type="spellStart"/>
      <w:r w:rsidRPr="00C71457">
        <w:rPr>
          <w:szCs w:val="22"/>
        </w:rPr>
        <w:t>Economy</w:t>
      </w:r>
      <w:proofErr w:type="spellEnd"/>
      <w:r w:rsidRPr="00C71457">
        <w:rPr>
          <w:szCs w:val="22"/>
        </w:rPr>
        <w:t xml:space="preserve">, </w:t>
      </w:r>
      <w:proofErr w:type="spellStart"/>
      <w:r w:rsidRPr="00C71457">
        <w:rPr>
          <w:szCs w:val="22"/>
        </w:rPr>
        <w:t>Entrepreneurship</w:t>
      </w:r>
      <w:proofErr w:type="spellEnd"/>
      <w:r w:rsidRPr="00C71457">
        <w:rPr>
          <w:szCs w:val="22"/>
        </w:rPr>
        <w:t xml:space="preserve"> </w:t>
      </w:r>
      <w:proofErr w:type="spellStart"/>
      <w:r w:rsidRPr="00C71457">
        <w:rPr>
          <w:szCs w:val="22"/>
        </w:rPr>
        <w:t>and</w:t>
      </w:r>
      <w:proofErr w:type="spellEnd"/>
      <w:r w:rsidRPr="00C71457">
        <w:rPr>
          <w:szCs w:val="22"/>
        </w:rPr>
        <w:t xml:space="preserve"> </w:t>
      </w:r>
      <w:proofErr w:type="spellStart"/>
      <w:r w:rsidRPr="00C71457">
        <w:rPr>
          <w:szCs w:val="22"/>
        </w:rPr>
        <w:t>Tourism</w:t>
      </w:r>
      <w:proofErr w:type="spellEnd"/>
      <w:r w:rsidRPr="007E14FF">
        <w:t xml:space="preserve">, </w:t>
      </w:r>
      <w:r w:rsidRPr="00AF5838">
        <w:t xml:space="preserve">National </w:t>
      </w:r>
      <w:proofErr w:type="spellStart"/>
      <w:r w:rsidRPr="00AF5838">
        <w:t>Competitiveness</w:t>
      </w:r>
      <w:proofErr w:type="spellEnd"/>
      <w:r w:rsidRPr="00AF5838">
        <w:t xml:space="preserve"> </w:t>
      </w:r>
      <w:proofErr w:type="spellStart"/>
      <w:r w:rsidRPr="00AF5838">
        <w:t>Strategy</w:t>
      </w:r>
      <w:proofErr w:type="spellEnd"/>
      <w:r w:rsidRPr="00AF5838">
        <w:t xml:space="preserve"> </w:t>
      </w:r>
      <w:r w:rsidRPr="007E14FF">
        <w:t xml:space="preserve">2021-2027, </w:t>
      </w:r>
      <w:hyperlink r:id="rId4" w:history="1">
        <w:r w:rsidRPr="007E14FF">
          <w:rPr>
            <w:rStyle w:val="Hyperlink"/>
          </w:rPr>
          <w:t>link</w:t>
        </w:r>
      </w:hyperlink>
      <w:r>
        <w:rPr>
          <w:rStyle w:val="Hyperlink"/>
        </w:rPr>
        <w:t>232</w:t>
      </w:r>
    </w:p>
  </w:footnote>
  <w:footnote w:id="6">
    <w:p w14:paraId="69828981" w14:textId="77777777" w:rsidR="00DF71C1" w:rsidRPr="007E14FF" w:rsidRDefault="00DF71C1" w:rsidP="00DF71C1">
      <w:pPr>
        <w:pStyle w:val="FootnoteText"/>
        <w:spacing w:after="0" w:line="240" w:lineRule="auto"/>
      </w:pPr>
      <w:r w:rsidRPr="007E14FF">
        <w:rPr>
          <w:rStyle w:val="FootnoteReference"/>
        </w:rPr>
        <w:footnoteRef/>
      </w:r>
      <w:r w:rsidRPr="007E14FF">
        <w:t xml:space="preserve"> </w:t>
      </w:r>
      <w:proofErr w:type="spellStart"/>
      <w:r w:rsidRPr="00291F84">
        <w:rPr>
          <w:szCs w:val="22"/>
        </w:rPr>
        <w:t>Ministry</w:t>
      </w:r>
      <w:proofErr w:type="spellEnd"/>
      <w:r w:rsidRPr="00291F84">
        <w:rPr>
          <w:szCs w:val="22"/>
        </w:rPr>
        <w:t xml:space="preserve"> of </w:t>
      </w:r>
      <w:proofErr w:type="spellStart"/>
      <w:r w:rsidRPr="00291F84">
        <w:rPr>
          <w:szCs w:val="22"/>
        </w:rPr>
        <w:t>Research</w:t>
      </w:r>
      <w:proofErr w:type="spellEnd"/>
      <w:r w:rsidRPr="00291F84">
        <w:rPr>
          <w:szCs w:val="22"/>
        </w:rPr>
        <w:t xml:space="preserve">, </w:t>
      </w:r>
      <w:proofErr w:type="spellStart"/>
      <w:r w:rsidRPr="00291F84">
        <w:rPr>
          <w:szCs w:val="22"/>
        </w:rPr>
        <w:t>Innovation</w:t>
      </w:r>
      <w:proofErr w:type="spellEnd"/>
      <w:r w:rsidRPr="00291F84">
        <w:rPr>
          <w:szCs w:val="22"/>
        </w:rPr>
        <w:t xml:space="preserve"> </w:t>
      </w:r>
      <w:proofErr w:type="spellStart"/>
      <w:r w:rsidRPr="00291F84">
        <w:rPr>
          <w:szCs w:val="22"/>
        </w:rPr>
        <w:t>and</w:t>
      </w:r>
      <w:proofErr w:type="spellEnd"/>
      <w:r w:rsidRPr="00291F84">
        <w:rPr>
          <w:szCs w:val="22"/>
        </w:rPr>
        <w:t xml:space="preserve"> </w:t>
      </w:r>
      <w:proofErr w:type="spellStart"/>
      <w:r w:rsidRPr="00291F84">
        <w:rPr>
          <w:szCs w:val="22"/>
        </w:rPr>
        <w:t>Digitization</w:t>
      </w:r>
      <w:proofErr w:type="spellEnd"/>
      <w:r w:rsidRPr="00291F84">
        <w:rPr>
          <w:szCs w:val="22"/>
        </w:rPr>
        <w:t xml:space="preserve">, National </w:t>
      </w:r>
      <w:proofErr w:type="spellStart"/>
      <w:r w:rsidRPr="00291F84">
        <w:rPr>
          <w:szCs w:val="22"/>
        </w:rPr>
        <w:t>Strategy</w:t>
      </w:r>
      <w:proofErr w:type="spellEnd"/>
      <w:r w:rsidRPr="00291F84">
        <w:rPr>
          <w:szCs w:val="22"/>
        </w:rPr>
        <w:t xml:space="preserve"> for </w:t>
      </w:r>
      <w:proofErr w:type="spellStart"/>
      <w:r w:rsidRPr="00291F84">
        <w:rPr>
          <w:szCs w:val="22"/>
        </w:rPr>
        <w:t>Research</w:t>
      </w:r>
      <w:proofErr w:type="spellEnd"/>
      <w:r w:rsidRPr="00291F84">
        <w:rPr>
          <w:szCs w:val="22"/>
        </w:rPr>
        <w:t xml:space="preserve">, </w:t>
      </w:r>
      <w:proofErr w:type="spellStart"/>
      <w:r w:rsidRPr="00291F84">
        <w:rPr>
          <w:szCs w:val="22"/>
        </w:rPr>
        <w:t>Innovation</w:t>
      </w:r>
      <w:proofErr w:type="spellEnd"/>
      <w:r w:rsidRPr="00291F84">
        <w:rPr>
          <w:szCs w:val="22"/>
        </w:rPr>
        <w:t xml:space="preserve"> </w:t>
      </w:r>
      <w:proofErr w:type="spellStart"/>
      <w:r w:rsidRPr="00291F84">
        <w:rPr>
          <w:szCs w:val="22"/>
        </w:rPr>
        <w:t>and</w:t>
      </w:r>
      <w:proofErr w:type="spellEnd"/>
      <w:r w:rsidRPr="00291F84">
        <w:rPr>
          <w:szCs w:val="22"/>
        </w:rPr>
        <w:t xml:space="preserve"> </w:t>
      </w:r>
      <w:proofErr w:type="spellStart"/>
      <w:r w:rsidRPr="00291F84">
        <w:rPr>
          <w:szCs w:val="22"/>
        </w:rPr>
        <w:t>Intelligent</w:t>
      </w:r>
      <w:proofErr w:type="spellEnd"/>
      <w:r w:rsidRPr="00291F84">
        <w:rPr>
          <w:szCs w:val="22"/>
        </w:rPr>
        <w:t xml:space="preserve"> </w:t>
      </w:r>
      <w:proofErr w:type="spellStart"/>
      <w:r w:rsidRPr="00291F84">
        <w:rPr>
          <w:szCs w:val="22"/>
        </w:rPr>
        <w:t>Specialization</w:t>
      </w:r>
      <w:proofErr w:type="spellEnd"/>
      <w:r w:rsidRPr="00291F84">
        <w:rPr>
          <w:szCs w:val="22"/>
        </w:rPr>
        <w:t xml:space="preserve"> 2022-2027, 2021</w:t>
      </w:r>
      <w:r w:rsidRPr="007E14FF">
        <w:rPr>
          <w:bCs/>
          <w:szCs w:val="22"/>
        </w:rPr>
        <w:t xml:space="preserve">, </w:t>
      </w:r>
      <w:hyperlink r:id="rId5" w:history="1">
        <w:r w:rsidRPr="007E14FF">
          <w:rPr>
            <w:rStyle w:val="Hyperlink"/>
            <w:bCs/>
            <w:szCs w:val="22"/>
          </w:rPr>
          <w:t>link</w:t>
        </w:r>
      </w:hyperlink>
    </w:p>
  </w:footnote>
  <w:footnote w:id="7">
    <w:p w14:paraId="4FE21292" w14:textId="77777777" w:rsidR="00DF71C1" w:rsidRPr="007E14FF" w:rsidRDefault="00DF71C1" w:rsidP="00DF71C1">
      <w:pPr>
        <w:pStyle w:val="FootnoteText"/>
        <w:spacing w:after="0" w:line="240" w:lineRule="auto"/>
      </w:pPr>
      <w:r w:rsidRPr="007E14FF">
        <w:rPr>
          <w:rStyle w:val="FootnoteReference"/>
        </w:rPr>
        <w:footnoteRef/>
      </w:r>
      <w:r w:rsidRPr="007E14FF">
        <w:t xml:space="preserve"> </w:t>
      </w:r>
      <w:r w:rsidRPr="00EC5578">
        <w:rPr>
          <w:szCs w:val="22"/>
        </w:rPr>
        <w:t xml:space="preserve">Regional </w:t>
      </w:r>
      <w:proofErr w:type="spellStart"/>
      <w:r w:rsidRPr="00EC5578">
        <w:rPr>
          <w:szCs w:val="22"/>
        </w:rPr>
        <w:t>Development</w:t>
      </w:r>
      <w:proofErr w:type="spellEnd"/>
      <w:r w:rsidRPr="00EC5578">
        <w:rPr>
          <w:szCs w:val="22"/>
        </w:rPr>
        <w:t xml:space="preserve"> Agency South-West Oltenia, Regional </w:t>
      </w:r>
      <w:proofErr w:type="spellStart"/>
      <w:r w:rsidRPr="00EC5578">
        <w:rPr>
          <w:szCs w:val="22"/>
        </w:rPr>
        <w:t>Development</w:t>
      </w:r>
      <w:proofErr w:type="spellEnd"/>
      <w:r w:rsidRPr="00EC5578">
        <w:rPr>
          <w:szCs w:val="22"/>
        </w:rPr>
        <w:t xml:space="preserve"> Plan of </w:t>
      </w:r>
      <w:proofErr w:type="spellStart"/>
      <w:r w:rsidRPr="00EC5578">
        <w:rPr>
          <w:szCs w:val="22"/>
        </w:rPr>
        <w:t>the</w:t>
      </w:r>
      <w:proofErr w:type="spellEnd"/>
      <w:r w:rsidRPr="00EC5578">
        <w:rPr>
          <w:szCs w:val="22"/>
        </w:rPr>
        <w:t xml:space="preserve"> South-West Oltenia </w:t>
      </w:r>
      <w:proofErr w:type="spellStart"/>
      <w:r w:rsidRPr="00EC5578">
        <w:rPr>
          <w:szCs w:val="22"/>
        </w:rPr>
        <w:t>Region</w:t>
      </w:r>
      <w:proofErr w:type="spellEnd"/>
      <w:r w:rsidRPr="00EC5578">
        <w:rPr>
          <w:szCs w:val="22"/>
        </w:rPr>
        <w:t xml:space="preserve"> 2021-2027, 2022</w:t>
      </w:r>
      <w:r w:rsidRPr="007E14FF">
        <w:rPr>
          <w:szCs w:val="22"/>
        </w:rPr>
        <w:t xml:space="preserve">, </w:t>
      </w:r>
      <w:hyperlink r:id="rId6" w:history="1">
        <w:r w:rsidRPr="007E14FF">
          <w:rPr>
            <w:rStyle w:val="Hyperlink"/>
            <w:szCs w:val="22"/>
          </w:rPr>
          <w:t>link</w:t>
        </w:r>
      </w:hyperlink>
    </w:p>
  </w:footnote>
  <w:footnote w:id="8">
    <w:p w14:paraId="2EEF5CC8" w14:textId="77777777" w:rsidR="00DF71C1" w:rsidRPr="007E14FF" w:rsidRDefault="00DF71C1" w:rsidP="00DF71C1">
      <w:pPr>
        <w:pStyle w:val="FootnoteText"/>
        <w:spacing w:after="0" w:line="240" w:lineRule="auto"/>
      </w:pPr>
      <w:r w:rsidRPr="007E14FF">
        <w:rPr>
          <w:rStyle w:val="FootnoteReference"/>
        </w:rPr>
        <w:footnoteRef/>
      </w:r>
      <w:r w:rsidRPr="007E14FF">
        <w:t xml:space="preserve"> </w:t>
      </w:r>
      <w:r w:rsidRPr="00A412FD">
        <w:t xml:space="preserve">European </w:t>
      </w:r>
      <w:proofErr w:type="spellStart"/>
      <w:r w:rsidRPr="00A412FD">
        <w:t>Commission</w:t>
      </w:r>
      <w:proofErr w:type="spellEnd"/>
      <w:r w:rsidRPr="00A412FD">
        <w:t xml:space="preserve">, European </w:t>
      </w:r>
      <w:proofErr w:type="spellStart"/>
      <w:r w:rsidRPr="00A412FD">
        <w:t>Scoreboard</w:t>
      </w:r>
      <w:proofErr w:type="spellEnd"/>
      <w:r w:rsidRPr="00A412FD">
        <w:t xml:space="preserve"> on </w:t>
      </w:r>
      <w:proofErr w:type="spellStart"/>
      <w:r w:rsidRPr="00A412FD">
        <w:t>Innovation</w:t>
      </w:r>
      <w:proofErr w:type="spellEnd"/>
      <w:r w:rsidRPr="00A412FD">
        <w:t xml:space="preserve"> in </w:t>
      </w:r>
      <w:proofErr w:type="spellStart"/>
      <w:r w:rsidRPr="00A412FD">
        <w:t>the</w:t>
      </w:r>
      <w:proofErr w:type="spellEnd"/>
      <w:r w:rsidRPr="00A412FD">
        <w:t xml:space="preserve"> </w:t>
      </w:r>
      <w:proofErr w:type="spellStart"/>
      <w:r w:rsidRPr="00A412FD">
        <w:t>Regions</w:t>
      </w:r>
      <w:proofErr w:type="spellEnd"/>
      <w:r w:rsidRPr="00A412FD">
        <w:t xml:space="preserve"> of Romania 2023</w:t>
      </w:r>
      <w:r w:rsidRPr="007E14FF">
        <w:rPr>
          <w:szCs w:val="22"/>
        </w:rPr>
        <w:t xml:space="preserve">, </w:t>
      </w:r>
      <w:hyperlink r:id="rId7" w:history="1">
        <w:r w:rsidRPr="007E14FF">
          <w:rPr>
            <w:rStyle w:val="Hyperlink"/>
            <w:szCs w:val="22"/>
          </w:rPr>
          <w:t>link</w:t>
        </w:r>
      </w:hyperlink>
    </w:p>
  </w:footnote>
  <w:footnote w:id="9">
    <w:p w14:paraId="2FC73428" w14:textId="77777777" w:rsidR="00DF71C1" w:rsidRPr="007E14FF" w:rsidRDefault="00DF71C1" w:rsidP="00DF71C1">
      <w:pPr>
        <w:pStyle w:val="FootnoteText"/>
        <w:spacing w:after="0" w:line="240" w:lineRule="auto"/>
      </w:pPr>
      <w:r w:rsidRPr="007E14FF">
        <w:rPr>
          <w:rStyle w:val="FootnoteReference"/>
        </w:rPr>
        <w:footnoteRef/>
      </w:r>
      <w:r w:rsidRPr="007E14FF">
        <w:t xml:space="preserve"> </w:t>
      </w:r>
      <w:r w:rsidRPr="00D80535">
        <w:rPr>
          <w:szCs w:val="22"/>
        </w:rPr>
        <w:t xml:space="preserve">Regional </w:t>
      </w:r>
      <w:proofErr w:type="spellStart"/>
      <w:r w:rsidRPr="00D80535">
        <w:rPr>
          <w:szCs w:val="22"/>
        </w:rPr>
        <w:t>Development</w:t>
      </w:r>
      <w:proofErr w:type="spellEnd"/>
      <w:r w:rsidRPr="00D80535">
        <w:rPr>
          <w:szCs w:val="22"/>
        </w:rPr>
        <w:t xml:space="preserve"> Agency South-West Oltenia, Regional </w:t>
      </w:r>
      <w:proofErr w:type="spellStart"/>
      <w:r w:rsidRPr="00D80535">
        <w:rPr>
          <w:szCs w:val="22"/>
        </w:rPr>
        <w:t>Strategy</w:t>
      </w:r>
      <w:proofErr w:type="spellEnd"/>
      <w:r w:rsidRPr="00D80535">
        <w:rPr>
          <w:szCs w:val="22"/>
        </w:rPr>
        <w:t xml:space="preserve"> for </w:t>
      </w:r>
      <w:proofErr w:type="spellStart"/>
      <w:r w:rsidRPr="00D80535">
        <w:rPr>
          <w:szCs w:val="22"/>
        </w:rPr>
        <w:t>Intelligent</w:t>
      </w:r>
      <w:proofErr w:type="spellEnd"/>
      <w:r w:rsidRPr="00D80535">
        <w:rPr>
          <w:szCs w:val="22"/>
        </w:rPr>
        <w:t xml:space="preserve"> </w:t>
      </w:r>
      <w:proofErr w:type="spellStart"/>
      <w:r w:rsidRPr="00D80535">
        <w:rPr>
          <w:szCs w:val="22"/>
        </w:rPr>
        <w:t>Specialization</w:t>
      </w:r>
      <w:proofErr w:type="spellEnd"/>
      <w:r w:rsidRPr="00D80535">
        <w:rPr>
          <w:szCs w:val="22"/>
        </w:rPr>
        <w:t xml:space="preserve"> RIS3 South-West Oltenia 2022-2027, 2021</w:t>
      </w:r>
      <w:r w:rsidRPr="007E14FF">
        <w:rPr>
          <w:szCs w:val="22"/>
        </w:rPr>
        <w:t xml:space="preserve">, </w:t>
      </w:r>
      <w:hyperlink r:id="rId8" w:history="1">
        <w:r w:rsidRPr="007E14FF">
          <w:rPr>
            <w:rStyle w:val="Hyperlink"/>
            <w:szCs w:val="22"/>
          </w:rPr>
          <w:t>link</w:t>
        </w:r>
      </w:hyperlink>
    </w:p>
  </w:footnote>
  <w:footnote w:id="10">
    <w:p w14:paraId="5DAF3395" w14:textId="77777777" w:rsidR="00D6219E" w:rsidRPr="007E14FF" w:rsidRDefault="00D6219E" w:rsidP="00D6219E">
      <w:pPr>
        <w:pStyle w:val="FootnoteText"/>
        <w:spacing w:after="0" w:line="240" w:lineRule="auto"/>
      </w:pPr>
      <w:r w:rsidRPr="007E14FF">
        <w:rPr>
          <w:rStyle w:val="FootnoteReference"/>
        </w:rPr>
        <w:footnoteRef/>
      </w:r>
      <w:r w:rsidRPr="007E14FF">
        <w:t xml:space="preserve"> </w:t>
      </w:r>
      <w:r w:rsidRPr="00EA47A3">
        <w:t xml:space="preserve">European </w:t>
      </w:r>
      <w:proofErr w:type="spellStart"/>
      <w:r w:rsidRPr="00EA47A3">
        <w:t>Commission</w:t>
      </w:r>
      <w:proofErr w:type="spellEnd"/>
      <w:r w:rsidRPr="00EA47A3">
        <w:t xml:space="preserve">, </w:t>
      </w:r>
      <w:proofErr w:type="spellStart"/>
      <w:r w:rsidRPr="00EA47A3">
        <w:t>Communication</w:t>
      </w:r>
      <w:proofErr w:type="spellEnd"/>
      <w:r w:rsidRPr="00EA47A3">
        <w:t xml:space="preserve"> </w:t>
      </w:r>
      <w:proofErr w:type="spellStart"/>
      <w:r w:rsidRPr="00EA47A3">
        <w:t>from</w:t>
      </w:r>
      <w:proofErr w:type="spellEnd"/>
      <w:r w:rsidRPr="00EA47A3">
        <w:t xml:space="preserve"> </w:t>
      </w:r>
      <w:proofErr w:type="spellStart"/>
      <w:r w:rsidRPr="00EA47A3">
        <w:t>the</w:t>
      </w:r>
      <w:proofErr w:type="spellEnd"/>
      <w:r w:rsidRPr="00EA47A3">
        <w:t xml:space="preserve"> </w:t>
      </w:r>
      <w:proofErr w:type="spellStart"/>
      <w:r w:rsidRPr="00EA47A3">
        <w:t>Commission</w:t>
      </w:r>
      <w:proofErr w:type="spellEnd"/>
      <w:r w:rsidRPr="00EA47A3">
        <w:t xml:space="preserve"> </w:t>
      </w:r>
      <w:proofErr w:type="spellStart"/>
      <w:r w:rsidRPr="00EA47A3">
        <w:t>to</w:t>
      </w:r>
      <w:proofErr w:type="spellEnd"/>
      <w:r w:rsidRPr="00EA47A3">
        <w:t xml:space="preserve"> </w:t>
      </w:r>
      <w:proofErr w:type="spellStart"/>
      <w:r w:rsidRPr="00EA47A3">
        <w:t>the</w:t>
      </w:r>
      <w:proofErr w:type="spellEnd"/>
      <w:r w:rsidRPr="00EA47A3">
        <w:t xml:space="preserve"> European </w:t>
      </w:r>
      <w:proofErr w:type="spellStart"/>
      <w:r w:rsidRPr="00EA47A3">
        <w:t>Parliament</w:t>
      </w:r>
      <w:proofErr w:type="spellEnd"/>
      <w:r w:rsidRPr="00EA47A3">
        <w:t xml:space="preserve">, </w:t>
      </w:r>
      <w:proofErr w:type="spellStart"/>
      <w:r w:rsidRPr="00EA47A3">
        <w:t>the</w:t>
      </w:r>
      <w:proofErr w:type="spellEnd"/>
      <w:r w:rsidRPr="00EA47A3">
        <w:t xml:space="preserve"> Council, </w:t>
      </w:r>
      <w:proofErr w:type="spellStart"/>
      <w:r w:rsidRPr="00EA47A3">
        <w:t>the</w:t>
      </w:r>
      <w:proofErr w:type="spellEnd"/>
      <w:r w:rsidRPr="00EA47A3">
        <w:t xml:space="preserve"> European Economic </w:t>
      </w:r>
      <w:proofErr w:type="spellStart"/>
      <w:r w:rsidRPr="00EA47A3">
        <w:t>and</w:t>
      </w:r>
      <w:proofErr w:type="spellEnd"/>
      <w:r w:rsidRPr="00EA47A3">
        <w:t xml:space="preserve"> Social </w:t>
      </w:r>
      <w:proofErr w:type="spellStart"/>
      <w:r w:rsidRPr="00EA47A3">
        <w:t>Committee</w:t>
      </w:r>
      <w:proofErr w:type="spellEnd"/>
      <w:r w:rsidRPr="00EA47A3">
        <w:t xml:space="preserve"> </w:t>
      </w:r>
      <w:proofErr w:type="spellStart"/>
      <w:r w:rsidRPr="00EA47A3">
        <w:t>and</w:t>
      </w:r>
      <w:proofErr w:type="spellEnd"/>
      <w:r w:rsidRPr="00EA47A3">
        <w:t xml:space="preserve"> </w:t>
      </w:r>
      <w:proofErr w:type="spellStart"/>
      <w:r w:rsidRPr="00EA47A3">
        <w:t>the</w:t>
      </w:r>
      <w:proofErr w:type="spellEnd"/>
      <w:r w:rsidRPr="00EA47A3">
        <w:t xml:space="preserve"> </w:t>
      </w:r>
      <w:proofErr w:type="spellStart"/>
      <w:r w:rsidRPr="00EA47A3">
        <w:t>Committee</w:t>
      </w:r>
      <w:proofErr w:type="spellEnd"/>
      <w:r w:rsidRPr="00EA47A3">
        <w:t xml:space="preserve"> of </w:t>
      </w:r>
      <w:proofErr w:type="spellStart"/>
      <w:r w:rsidRPr="00EA47A3">
        <w:t>the</w:t>
      </w:r>
      <w:proofErr w:type="spellEnd"/>
      <w:r w:rsidRPr="00EA47A3">
        <w:t xml:space="preserve"> </w:t>
      </w:r>
      <w:proofErr w:type="spellStart"/>
      <w:r w:rsidRPr="00EA47A3">
        <w:t>Regions</w:t>
      </w:r>
      <w:proofErr w:type="spellEnd"/>
      <w:r w:rsidRPr="00EA47A3">
        <w:t xml:space="preserve">, "A Digital Single Market </w:t>
      </w:r>
      <w:proofErr w:type="spellStart"/>
      <w:r w:rsidRPr="00EA47A3">
        <w:t>Strategy</w:t>
      </w:r>
      <w:proofErr w:type="spellEnd"/>
      <w:r w:rsidRPr="00EA47A3">
        <w:t xml:space="preserve"> for Europe",</w:t>
      </w:r>
      <w:r>
        <w:t xml:space="preserve"> 2015</w:t>
      </w:r>
    </w:p>
  </w:footnote>
  <w:footnote w:id="11">
    <w:p w14:paraId="255AB5F2" w14:textId="77777777" w:rsidR="00D6219E" w:rsidRPr="007E14FF" w:rsidRDefault="00D6219E" w:rsidP="00D6219E">
      <w:pPr>
        <w:pStyle w:val="FootnoteText"/>
        <w:spacing w:after="0" w:line="240" w:lineRule="auto"/>
      </w:pPr>
      <w:r w:rsidRPr="007E14FF">
        <w:rPr>
          <w:rStyle w:val="FootnoteReference"/>
        </w:rPr>
        <w:footnoteRef/>
      </w:r>
      <w:r w:rsidRPr="007E14FF">
        <w:t xml:space="preserve"> </w:t>
      </w:r>
      <w:r w:rsidRPr="005B0871">
        <w:t xml:space="preserve">European </w:t>
      </w:r>
      <w:proofErr w:type="spellStart"/>
      <w:r w:rsidRPr="005B0871">
        <w:t>Commission</w:t>
      </w:r>
      <w:proofErr w:type="spellEnd"/>
      <w:r w:rsidRPr="005B0871">
        <w:t xml:space="preserve">, </w:t>
      </w:r>
      <w:proofErr w:type="spellStart"/>
      <w:r w:rsidRPr="005B0871">
        <w:t>Commission</w:t>
      </w:r>
      <w:proofErr w:type="spellEnd"/>
      <w:r w:rsidRPr="005B0871">
        <w:t xml:space="preserve"> </w:t>
      </w:r>
      <w:proofErr w:type="spellStart"/>
      <w:r w:rsidRPr="005B0871">
        <w:t>Communication</w:t>
      </w:r>
      <w:proofErr w:type="spellEnd"/>
      <w:r w:rsidRPr="005B0871">
        <w:t xml:space="preserve"> of 19 </w:t>
      </w:r>
      <w:proofErr w:type="spellStart"/>
      <w:r w:rsidRPr="005B0871">
        <w:t>February</w:t>
      </w:r>
      <w:proofErr w:type="spellEnd"/>
      <w:r w:rsidRPr="005B0871">
        <w:t xml:space="preserve"> 2020, "</w:t>
      </w:r>
      <w:proofErr w:type="spellStart"/>
      <w:r w:rsidRPr="005B0871">
        <w:t>Shaping</w:t>
      </w:r>
      <w:proofErr w:type="spellEnd"/>
      <w:r w:rsidRPr="005B0871">
        <w:t xml:space="preserve"> </w:t>
      </w:r>
      <w:proofErr w:type="spellStart"/>
      <w:r w:rsidRPr="005B0871">
        <w:t>Europe's</w:t>
      </w:r>
      <w:proofErr w:type="spellEnd"/>
      <w:r w:rsidRPr="005B0871">
        <w:t xml:space="preserve"> Digital </w:t>
      </w:r>
      <w:proofErr w:type="spellStart"/>
      <w:r w:rsidRPr="005B0871">
        <w:t>Future</w:t>
      </w:r>
      <w:proofErr w:type="spellEnd"/>
      <w:r w:rsidRPr="005B0871">
        <w:t>"</w:t>
      </w:r>
      <w:r w:rsidRPr="007E14FF">
        <w:t>,</w:t>
      </w:r>
      <w:hyperlink r:id="rId9" w:anchor="documents" w:history="1">
        <w:r w:rsidRPr="007E14FF">
          <w:rPr>
            <w:rStyle w:val="Hyperlink"/>
          </w:rPr>
          <w:t xml:space="preserve"> 2020, link</w:t>
        </w:r>
      </w:hyperlink>
    </w:p>
  </w:footnote>
  <w:footnote w:id="12">
    <w:p w14:paraId="2402BE16" w14:textId="77777777" w:rsidR="00D6219E" w:rsidRPr="007E14FF" w:rsidRDefault="00D6219E" w:rsidP="00D6219E">
      <w:pPr>
        <w:pStyle w:val="FootnoteText"/>
        <w:spacing w:after="0" w:line="240" w:lineRule="auto"/>
      </w:pPr>
      <w:r w:rsidRPr="007E14FF">
        <w:rPr>
          <w:rStyle w:val="FootnoteReference"/>
        </w:rPr>
        <w:footnoteRef/>
      </w:r>
      <w:r w:rsidRPr="007E14FF">
        <w:t xml:space="preserve"> </w:t>
      </w:r>
      <w:r w:rsidRPr="00834734">
        <w:t xml:space="preserve">European </w:t>
      </w:r>
      <w:proofErr w:type="spellStart"/>
      <w:r w:rsidRPr="00834734">
        <w:t>Commission</w:t>
      </w:r>
      <w:proofErr w:type="spellEnd"/>
      <w:r w:rsidRPr="00834734">
        <w:t xml:space="preserve">, Digital </w:t>
      </w:r>
      <w:proofErr w:type="spellStart"/>
      <w:r w:rsidRPr="00834734">
        <w:t>Compass</w:t>
      </w:r>
      <w:proofErr w:type="spellEnd"/>
      <w:r w:rsidRPr="00834734">
        <w:t xml:space="preserve"> 2030: </w:t>
      </w:r>
      <w:proofErr w:type="spellStart"/>
      <w:r w:rsidRPr="00834734">
        <w:t>Europe's</w:t>
      </w:r>
      <w:proofErr w:type="spellEnd"/>
      <w:r w:rsidRPr="00834734">
        <w:t xml:space="preserve"> </w:t>
      </w:r>
      <w:proofErr w:type="spellStart"/>
      <w:r w:rsidRPr="00834734">
        <w:t>path</w:t>
      </w:r>
      <w:proofErr w:type="spellEnd"/>
      <w:r w:rsidRPr="00834734">
        <w:t xml:space="preserve"> </w:t>
      </w:r>
      <w:proofErr w:type="spellStart"/>
      <w:r w:rsidRPr="00834734">
        <w:t>to</w:t>
      </w:r>
      <w:proofErr w:type="spellEnd"/>
      <w:r w:rsidRPr="00834734">
        <w:t xml:space="preserve"> </w:t>
      </w:r>
      <w:proofErr w:type="spellStart"/>
      <w:r w:rsidRPr="00834734">
        <w:t>the</w:t>
      </w:r>
      <w:proofErr w:type="spellEnd"/>
      <w:r w:rsidRPr="00834734">
        <w:t xml:space="preserve"> digital decade, 2021 </w:t>
      </w:r>
      <w:hyperlink r:id="rId10" w:history="1">
        <w:r w:rsidRPr="007E14FF">
          <w:rPr>
            <w:rStyle w:val="Hyperlink"/>
          </w:rPr>
          <w:t>link</w:t>
        </w:r>
      </w:hyperlink>
    </w:p>
  </w:footnote>
  <w:footnote w:id="13">
    <w:p w14:paraId="18431C2D" w14:textId="77777777" w:rsidR="00D6219E" w:rsidRPr="007E14FF" w:rsidRDefault="00D6219E" w:rsidP="00D6219E">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 xml:space="preserve">, </w:t>
      </w:r>
      <w:hyperlink r:id="rId11" w:history="1">
        <w:r w:rsidRPr="007E14FF">
          <w:rPr>
            <w:rStyle w:val="Hyperlink"/>
          </w:rPr>
          <w:t>link</w:t>
        </w:r>
      </w:hyperlink>
    </w:p>
  </w:footnote>
  <w:footnote w:id="14">
    <w:p w14:paraId="619C9714" w14:textId="77777777" w:rsidR="00D6219E" w:rsidRPr="007E14FF" w:rsidRDefault="00D6219E" w:rsidP="00D6219E">
      <w:pPr>
        <w:pStyle w:val="FootnoteText"/>
        <w:spacing w:after="0" w:line="240" w:lineRule="auto"/>
      </w:pPr>
      <w:r w:rsidRPr="007E14FF">
        <w:rPr>
          <w:rStyle w:val="FootnoteReference"/>
        </w:rPr>
        <w:footnoteRef/>
      </w:r>
      <w:r w:rsidRPr="003F399E">
        <w:rPr>
          <w:rFonts w:cs="Calibri"/>
        </w:rPr>
        <w:t xml:space="preserve">Digital </w:t>
      </w:r>
      <w:proofErr w:type="spellStart"/>
      <w:r w:rsidRPr="003F399E">
        <w:rPr>
          <w:rFonts w:cs="Calibri"/>
        </w:rPr>
        <w:t>Economy</w:t>
      </w:r>
      <w:proofErr w:type="spellEnd"/>
      <w:r w:rsidRPr="003F399E">
        <w:rPr>
          <w:rFonts w:cs="Calibri"/>
        </w:rPr>
        <w:t xml:space="preserve"> </w:t>
      </w:r>
      <w:proofErr w:type="spellStart"/>
      <w:r w:rsidRPr="003F399E">
        <w:rPr>
          <w:rFonts w:cs="Calibri"/>
        </w:rPr>
        <w:t>and</w:t>
      </w:r>
      <w:proofErr w:type="spellEnd"/>
      <w:r w:rsidRPr="003F399E">
        <w:rPr>
          <w:rFonts w:cs="Calibri"/>
        </w:rPr>
        <w:t xml:space="preserve"> Society Index (DESI)</w:t>
      </w:r>
      <w:r>
        <w:rPr>
          <w:rFonts w:cs="Calibri"/>
        </w:rPr>
        <w:t xml:space="preserve"> </w:t>
      </w:r>
      <w:r w:rsidRPr="007E14FF">
        <w:rPr>
          <w:rFonts w:cs="Calibri"/>
        </w:rPr>
        <w:t xml:space="preserve">2022, </w:t>
      </w:r>
      <w:hyperlink r:id="rId12" w:history="1">
        <w:r w:rsidRPr="007E14FF">
          <w:rPr>
            <w:rStyle w:val="Hyperlink"/>
            <w:rFonts w:cs="Calibri"/>
          </w:rPr>
          <w:t>link</w:t>
        </w:r>
      </w:hyperlink>
    </w:p>
  </w:footnote>
  <w:footnote w:id="15">
    <w:p w14:paraId="4F5CC4F7" w14:textId="77777777" w:rsidR="00D6219E" w:rsidRPr="007E14FF" w:rsidRDefault="00D6219E" w:rsidP="00D6219E">
      <w:pPr>
        <w:pStyle w:val="FootnoteText"/>
        <w:spacing w:after="0" w:line="240" w:lineRule="auto"/>
      </w:pPr>
      <w:r w:rsidRPr="007E14FF">
        <w:rPr>
          <w:rStyle w:val="FootnoteReference"/>
        </w:rPr>
        <w:footnoteRef/>
      </w:r>
      <w:r w:rsidRPr="007E14FF">
        <w:t xml:space="preserve"> </w:t>
      </w:r>
      <w:r w:rsidRPr="001D5687">
        <w:t xml:space="preserve">European </w:t>
      </w:r>
      <w:proofErr w:type="spellStart"/>
      <w:r w:rsidRPr="001D5687">
        <w:t>Commission</w:t>
      </w:r>
      <w:proofErr w:type="spellEnd"/>
      <w:r w:rsidRPr="001D5687">
        <w:t>, Country Report 2024,</w:t>
      </w:r>
      <w:r>
        <w:t xml:space="preserve"> </w:t>
      </w:r>
      <w:hyperlink r:id="rId13" w:history="1">
        <w:r w:rsidRPr="007E14FF">
          <w:rPr>
            <w:rStyle w:val="Hyperlink"/>
          </w:rPr>
          <w:t>link</w:t>
        </w:r>
      </w:hyperlink>
    </w:p>
  </w:footnote>
  <w:footnote w:id="16">
    <w:p w14:paraId="34FD0462" w14:textId="77777777" w:rsidR="00D6219E" w:rsidRPr="007E14FF" w:rsidRDefault="00D6219E" w:rsidP="00D6219E">
      <w:pPr>
        <w:pStyle w:val="FootnoteText"/>
        <w:spacing w:after="0" w:line="240" w:lineRule="auto"/>
      </w:pPr>
      <w:r w:rsidRPr="007E14FF">
        <w:rPr>
          <w:rStyle w:val="FootnoteReference"/>
        </w:rPr>
        <w:footnoteRef/>
      </w:r>
      <w:r w:rsidRPr="007E14FF">
        <w:t xml:space="preserve"> </w:t>
      </w:r>
      <w:proofErr w:type="spellStart"/>
      <w:r w:rsidRPr="007E14FF">
        <w:rPr>
          <w:i/>
        </w:rPr>
        <w:t>op.cit</w:t>
      </w:r>
      <w:proofErr w:type="spellEnd"/>
      <w:r w:rsidRPr="007E14FF">
        <w:t xml:space="preserve">, </w:t>
      </w:r>
      <w:hyperlink r:id="rId14" w:history="1">
        <w:r w:rsidRPr="007E14FF">
          <w:rPr>
            <w:rStyle w:val="Hyperlink"/>
          </w:rPr>
          <w:t>link</w:t>
        </w:r>
      </w:hyperlink>
    </w:p>
  </w:footnote>
  <w:footnote w:id="17">
    <w:p w14:paraId="699DF678" w14:textId="77777777" w:rsidR="00D6219E" w:rsidRPr="007E14FF" w:rsidRDefault="00D6219E" w:rsidP="00D6219E">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 xml:space="preserve">, </w:t>
      </w:r>
      <w:hyperlink r:id="rId15" w:history="1">
        <w:r w:rsidRPr="007E14FF">
          <w:rPr>
            <w:rStyle w:val="Hyperlink"/>
          </w:rPr>
          <w:t>link</w:t>
        </w:r>
      </w:hyperlink>
    </w:p>
  </w:footnote>
  <w:footnote w:id="18">
    <w:p w14:paraId="2B88012F" w14:textId="77777777" w:rsidR="00386B00" w:rsidRPr="007E14FF" w:rsidRDefault="00386B00" w:rsidP="00386B00">
      <w:pPr>
        <w:pStyle w:val="FootnoteText"/>
        <w:spacing w:after="0" w:line="240" w:lineRule="auto"/>
      </w:pPr>
      <w:r w:rsidRPr="007E14FF">
        <w:rPr>
          <w:rStyle w:val="FootnoteReference"/>
        </w:rPr>
        <w:footnoteRef/>
      </w:r>
      <w:r w:rsidRPr="007E14FF">
        <w:t xml:space="preserve"> </w:t>
      </w:r>
      <w:r w:rsidRPr="00CD48BA">
        <w:t xml:space="preserve">European </w:t>
      </w:r>
      <w:proofErr w:type="spellStart"/>
      <w:r w:rsidRPr="00CD48BA">
        <w:t>Parliament</w:t>
      </w:r>
      <w:proofErr w:type="spellEnd"/>
      <w:r w:rsidRPr="00CD48BA">
        <w:t xml:space="preserve">, DIRECTIVE (EU) 2023/2413 OF THE EUROPEAN PARLIAMENT AND OF THE COUNCIL of 18 </w:t>
      </w:r>
      <w:proofErr w:type="spellStart"/>
      <w:r w:rsidRPr="00CD48BA">
        <w:t>October</w:t>
      </w:r>
      <w:proofErr w:type="spellEnd"/>
      <w:r w:rsidRPr="00CD48BA">
        <w:t xml:space="preserve"> 2023 </w:t>
      </w:r>
      <w:proofErr w:type="spellStart"/>
      <w:r w:rsidRPr="00CD48BA">
        <w:t>amending</w:t>
      </w:r>
      <w:proofErr w:type="spellEnd"/>
      <w:r w:rsidRPr="00CD48BA">
        <w:t xml:space="preserve"> Directive (EU) 2018/2001, </w:t>
      </w:r>
      <w:proofErr w:type="spellStart"/>
      <w:r w:rsidRPr="00CD48BA">
        <w:t>Regulation</w:t>
      </w:r>
      <w:proofErr w:type="spellEnd"/>
      <w:r w:rsidRPr="00CD48BA">
        <w:t xml:space="preserve"> (EU) 2018/1999 </w:t>
      </w:r>
      <w:proofErr w:type="spellStart"/>
      <w:r w:rsidRPr="00CD48BA">
        <w:t>and</w:t>
      </w:r>
      <w:proofErr w:type="spellEnd"/>
      <w:r w:rsidRPr="00CD48BA">
        <w:t xml:space="preserve"> Directive 98/70/EC as </w:t>
      </w:r>
      <w:proofErr w:type="spellStart"/>
      <w:r w:rsidRPr="00CD48BA">
        <w:t>regards</w:t>
      </w:r>
      <w:proofErr w:type="spellEnd"/>
      <w:r w:rsidRPr="00CD48BA">
        <w:t xml:space="preserve"> </w:t>
      </w:r>
      <w:proofErr w:type="spellStart"/>
      <w:r w:rsidRPr="00CD48BA">
        <w:t>the</w:t>
      </w:r>
      <w:proofErr w:type="spellEnd"/>
      <w:r w:rsidRPr="00CD48BA">
        <w:t xml:space="preserve"> </w:t>
      </w:r>
      <w:proofErr w:type="spellStart"/>
      <w:r w:rsidRPr="00CD48BA">
        <w:t>promotion</w:t>
      </w:r>
      <w:proofErr w:type="spellEnd"/>
      <w:r w:rsidRPr="00CD48BA">
        <w:t xml:space="preserve"> of </w:t>
      </w:r>
      <w:proofErr w:type="spellStart"/>
      <w:r w:rsidRPr="00CD48BA">
        <w:t>energy</w:t>
      </w:r>
      <w:proofErr w:type="spellEnd"/>
      <w:r w:rsidRPr="00CD48BA">
        <w:t xml:space="preserve"> </w:t>
      </w:r>
      <w:proofErr w:type="spellStart"/>
      <w:r w:rsidRPr="00CD48BA">
        <w:t>from</w:t>
      </w:r>
      <w:proofErr w:type="spellEnd"/>
      <w:r w:rsidRPr="00CD48BA">
        <w:t xml:space="preserve"> </w:t>
      </w:r>
      <w:proofErr w:type="spellStart"/>
      <w:r w:rsidRPr="00CD48BA">
        <w:t>renewable</w:t>
      </w:r>
      <w:proofErr w:type="spellEnd"/>
      <w:r w:rsidRPr="00CD48BA">
        <w:t xml:space="preserve"> </w:t>
      </w:r>
      <w:proofErr w:type="spellStart"/>
      <w:r w:rsidRPr="00CD48BA">
        <w:t>sources</w:t>
      </w:r>
      <w:proofErr w:type="spellEnd"/>
      <w:r w:rsidRPr="00CD48BA">
        <w:t xml:space="preserve"> </w:t>
      </w:r>
      <w:proofErr w:type="spellStart"/>
      <w:r w:rsidRPr="00CD48BA">
        <w:t>and</w:t>
      </w:r>
      <w:proofErr w:type="spellEnd"/>
      <w:r w:rsidRPr="00CD48BA">
        <w:t xml:space="preserve"> </w:t>
      </w:r>
      <w:proofErr w:type="spellStart"/>
      <w:r w:rsidRPr="00CD48BA">
        <w:t>the</w:t>
      </w:r>
      <w:proofErr w:type="spellEnd"/>
      <w:r w:rsidRPr="00CD48BA">
        <w:t xml:space="preserve"> </w:t>
      </w:r>
      <w:proofErr w:type="spellStart"/>
      <w:r w:rsidRPr="00CD48BA">
        <w:t>repeal</w:t>
      </w:r>
      <w:proofErr w:type="spellEnd"/>
      <w:r w:rsidRPr="00CD48BA">
        <w:t xml:space="preserve"> of </w:t>
      </w:r>
      <w:proofErr w:type="spellStart"/>
      <w:r w:rsidRPr="00CD48BA">
        <w:t>the</w:t>
      </w:r>
      <w:proofErr w:type="spellEnd"/>
      <w:r w:rsidRPr="00CD48BA">
        <w:t xml:space="preserve"> Directive (EU) 2015/652 of </w:t>
      </w:r>
      <w:proofErr w:type="spellStart"/>
      <w:r w:rsidRPr="00CD48BA">
        <w:t>the</w:t>
      </w:r>
      <w:proofErr w:type="spellEnd"/>
      <w:r w:rsidRPr="00CD48BA">
        <w:t xml:space="preserve"> Council, 2023</w:t>
      </w:r>
      <w:r w:rsidRPr="007E14FF">
        <w:t xml:space="preserve">, </w:t>
      </w:r>
      <w:hyperlink r:id="rId16" w:history="1">
        <w:r w:rsidRPr="007E14FF">
          <w:rPr>
            <w:rStyle w:val="Hyperlink"/>
          </w:rPr>
          <w:t>link</w:t>
        </w:r>
      </w:hyperlink>
    </w:p>
  </w:footnote>
  <w:footnote w:id="19">
    <w:p w14:paraId="1BA2230C" w14:textId="77777777" w:rsidR="00386B00" w:rsidRPr="007E14FF" w:rsidRDefault="00386B00" w:rsidP="00386B00">
      <w:pPr>
        <w:pStyle w:val="FootnoteText"/>
        <w:spacing w:after="0" w:line="240" w:lineRule="auto"/>
      </w:pPr>
      <w:r w:rsidRPr="007E14FF">
        <w:rPr>
          <w:rStyle w:val="FootnoteReference"/>
        </w:rPr>
        <w:footnoteRef/>
      </w:r>
      <w:r w:rsidRPr="007E14FF">
        <w:t xml:space="preserve"> </w:t>
      </w:r>
      <w:r w:rsidRPr="00733187">
        <w:t xml:space="preserve">European </w:t>
      </w:r>
      <w:proofErr w:type="spellStart"/>
      <w:r w:rsidRPr="00733187">
        <w:t>Parliament</w:t>
      </w:r>
      <w:proofErr w:type="spellEnd"/>
      <w:r w:rsidRPr="00733187">
        <w:t xml:space="preserve">, DIRECTIVE (EU) 2023/1791 OF THE EUROPEAN PARLIAMENT AND OF THE COUNCIL of 13 </w:t>
      </w:r>
      <w:proofErr w:type="spellStart"/>
      <w:r w:rsidRPr="00733187">
        <w:t>September</w:t>
      </w:r>
      <w:proofErr w:type="spellEnd"/>
      <w:r w:rsidRPr="00733187">
        <w:t xml:space="preserve"> 2023 on </w:t>
      </w:r>
      <w:proofErr w:type="spellStart"/>
      <w:r w:rsidRPr="00733187">
        <w:t>energy</w:t>
      </w:r>
      <w:proofErr w:type="spellEnd"/>
      <w:r w:rsidRPr="00733187">
        <w:t xml:space="preserve"> </w:t>
      </w:r>
      <w:proofErr w:type="spellStart"/>
      <w:r w:rsidRPr="00733187">
        <w:t>efficiency</w:t>
      </w:r>
      <w:proofErr w:type="spellEnd"/>
      <w:r w:rsidRPr="00733187">
        <w:t xml:space="preserve"> </w:t>
      </w:r>
      <w:proofErr w:type="spellStart"/>
      <w:r w:rsidRPr="00733187">
        <w:t>and</w:t>
      </w:r>
      <w:proofErr w:type="spellEnd"/>
      <w:r w:rsidRPr="00733187">
        <w:t xml:space="preserve"> </w:t>
      </w:r>
      <w:proofErr w:type="spellStart"/>
      <w:r w:rsidRPr="00733187">
        <w:t>amending</w:t>
      </w:r>
      <w:proofErr w:type="spellEnd"/>
      <w:r w:rsidRPr="00733187">
        <w:t xml:space="preserve"> </w:t>
      </w:r>
      <w:proofErr w:type="spellStart"/>
      <w:r w:rsidRPr="00733187">
        <w:t>Regulation</w:t>
      </w:r>
      <w:proofErr w:type="spellEnd"/>
      <w:r w:rsidRPr="00733187">
        <w:t xml:space="preserve"> (EU) 2023/955 (</w:t>
      </w:r>
      <w:proofErr w:type="spellStart"/>
      <w:r w:rsidRPr="00733187">
        <w:t>reforming</w:t>
      </w:r>
      <w:proofErr w:type="spellEnd"/>
      <w:r w:rsidRPr="00733187">
        <w:t>), 2023</w:t>
      </w:r>
      <w:r w:rsidRPr="007E14FF">
        <w:t xml:space="preserve">, </w:t>
      </w:r>
      <w:hyperlink r:id="rId17" w:history="1">
        <w:r w:rsidRPr="007E14FF">
          <w:rPr>
            <w:rStyle w:val="Hyperlink"/>
          </w:rPr>
          <w:t>link</w:t>
        </w:r>
      </w:hyperlink>
    </w:p>
  </w:footnote>
  <w:footnote w:id="20">
    <w:p w14:paraId="362734F6" w14:textId="77777777" w:rsidR="00386B00" w:rsidRPr="007E14FF" w:rsidRDefault="00386B00" w:rsidP="00386B00">
      <w:pPr>
        <w:pStyle w:val="FootnoteText"/>
        <w:spacing w:after="0" w:line="240" w:lineRule="auto"/>
      </w:pPr>
      <w:r w:rsidRPr="007E14FF">
        <w:rPr>
          <w:rStyle w:val="FootnoteReference"/>
        </w:rPr>
        <w:footnoteRef/>
      </w:r>
      <w:r w:rsidRPr="007E14FF">
        <w:t xml:space="preserve"> </w:t>
      </w:r>
      <w:proofErr w:type="spellStart"/>
      <w:r w:rsidRPr="00526493">
        <w:t>Ministry</w:t>
      </w:r>
      <w:proofErr w:type="spellEnd"/>
      <w:r w:rsidRPr="00526493">
        <w:t xml:space="preserve"> of Energy, Energy </w:t>
      </w:r>
      <w:proofErr w:type="spellStart"/>
      <w:r w:rsidRPr="00526493">
        <w:t>Strategy</w:t>
      </w:r>
      <w:proofErr w:type="spellEnd"/>
      <w:r w:rsidRPr="00526493">
        <w:t xml:space="preserve"> of Romania 2025-2035, </w:t>
      </w:r>
      <w:proofErr w:type="spellStart"/>
      <w:r w:rsidRPr="00526493">
        <w:t>with</w:t>
      </w:r>
      <w:proofErr w:type="spellEnd"/>
      <w:r w:rsidRPr="00526493">
        <w:t xml:space="preserve"> </w:t>
      </w:r>
      <w:proofErr w:type="spellStart"/>
      <w:r w:rsidRPr="00526493">
        <w:t>the</w:t>
      </w:r>
      <w:proofErr w:type="spellEnd"/>
      <w:r w:rsidRPr="00526493">
        <w:t xml:space="preserve"> perspective of 2050</w:t>
      </w:r>
      <w:r w:rsidRPr="007E14FF">
        <w:t xml:space="preserve">, 2024, </w:t>
      </w:r>
      <w:hyperlink r:id="rId18" w:history="1">
        <w:r w:rsidRPr="007E14FF">
          <w:rPr>
            <w:rStyle w:val="Hyperlink"/>
          </w:rPr>
          <w:t>link</w:t>
        </w:r>
      </w:hyperlink>
    </w:p>
  </w:footnote>
  <w:footnote w:id="21">
    <w:p w14:paraId="1927A4A6" w14:textId="77777777" w:rsidR="00386B00" w:rsidRPr="007E14FF" w:rsidRDefault="00386B00" w:rsidP="00386B00">
      <w:pPr>
        <w:pStyle w:val="FootnoteText"/>
        <w:spacing w:after="0" w:line="240" w:lineRule="auto"/>
      </w:pPr>
      <w:r w:rsidRPr="007E14FF">
        <w:rPr>
          <w:rStyle w:val="FootnoteReference"/>
        </w:rPr>
        <w:footnoteRef/>
      </w:r>
      <w:r w:rsidRPr="007E14FF">
        <w:t xml:space="preserve"> </w:t>
      </w:r>
      <w:proofErr w:type="spellStart"/>
      <w:r w:rsidRPr="00231FAC">
        <w:t>Ministry</w:t>
      </w:r>
      <w:proofErr w:type="spellEnd"/>
      <w:r w:rsidRPr="00231FAC">
        <w:t xml:space="preserve"> of Energy, National </w:t>
      </w:r>
      <w:proofErr w:type="spellStart"/>
      <w:r w:rsidRPr="00231FAC">
        <w:t>Integrated</w:t>
      </w:r>
      <w:proofErr w:type="spellEnd"/>
      <w:r w:rsidRPr="00231FAC">
        <w:t xml:space="preserve"> Plan in </w:t>
      </w:r>
      <w:proofErr w:type="spellStart"/>
      <w:r w:rsidRPr="00231FAC">
        <w:t>the</w:t>
      </w:r>
      <w:proofErr w:type="spellEnd"/>
      <w:r w:rsidRPr="00231FAC">
        <w:t xml:space="preserve"> </w:t>
      </w:r>
      <w:proofErr w:type="spellStart"/>
      <w:r w:rsidRPr="00231FAC">
        <w:t>field</w:t>
      </w:r>
      <w:proofErr w:type="spellEnd"/>
      <w:r w:rsidRPr="00231FAC">
        <w:t xml:space="preserve"> of Energy </w:t>
      </w:r>
      <w:proofErr w:type="spellStart"/>
      <w:r w:rsidRPr="00231FAC">
        <w:t>and</w:t>
      </w:r>
      <w:proofErr w:type="spellEnd"/>
      <w:r w:rsidRPr="00231FAC">
        <w:t xml:space="preserve"> Climate </w:t>
      </w:r>
      <w:proofErr w:type="spellStart"/>
      <w:r w:rsidRPr="00231FAC">
        <w:t>Change</w:t>
      </w:r>
      <w:proofErr w:type="spellEnd"/>
      <w:r w:rsidRPr="00231FAC">
        <w:t xml:space="preserve"> 2021-2030, 202</w:t>
      </w:r>
      <w:r>
        <w:t>4</w:t>
      </w:r>
      <w:r w:rsidRPr="007E14FF">
        <w:t xml:space="preserve">, </w:t>
      </w:r>
      <w:hyperlink r:id="rId19" w:history="1">
        <w:r w:rsidRPr="007E14FF">
          <w:rPr>
            <w:rStyle w:val="Hyperlink"/>
          </w:rPr>
          <w:t>link</w:t>
        </w:r>
      </w:hyperlink>
    </w:p>
  </w:footnote>
  <w:footnote w:id="22">
    <w:p w14:paraId="20E441A2" w14:textId="77777777" w:rsidR="00386B00" w:rsidRPr="007E14FF" w:rsidRDefault="00386B00" w:rsidP="00386B00">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 xml:space="preserve">, </w:t>
      </w:r>
      <w:hyperlink r:id="rId20" w:history="1">
        <w:r w:rsidRPr="007E14FF">
          <w:rPr>
            <w:rStyle w:val="Hyperlink"/>
          </w:rPr>
          <w:t>link</w:t>
        </w:r>
      </w:hyperlink>
    </w:p>
  </w:footnote>
  <w:footnote w:id="23">
    <w:p w14:paraId="6FB6A8B5" w14:textId="77777777" w:rsidR="00386B00" w:rsidRPr="007E14FF" w:rsidRDefault="00386B00" w:rsidP="00386B00">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w:t>
      </w:r>
      <w:hyperlink r:id="rId21" w:history="1">
        <w:r w:rsidRPr="007E14FF">
          <w:rPr>
            <w:rStyle w:val="Hyperlink"/>
          </w:rPr>
          <w:t xml:space="preserve"> link</w:t>
        </w:r>
      </w:hyperlink>
    </w:p>
  </w:footnote>
  <w:footnote w:id="24">
    <w:p w14:paraId="74D76C3D" w14:textId="77777777" w:rsidR="000D1DBC" w:rsidRPr="007E14FF" w:rsidRDefault="000D1DBC" w:rsidP="000D1DBC">
      <w:pPr>
        <w:pStyle w:val="FootnoteText"/>
        <w:spacing w:after="0" w:line="240" w:lineRule="auto"/>
      </w:pPr>
      <w:r w:rsidRPr="007E14FF">
        <w:rPr>
          <w:rStyle w:val="FootnoteReference"/>
        </w:rPr>
        <w:footnoteRef/>
      </w:r>
      <w:r w:rsidRPr="007E14FF">
        <w:t xml:space="preserve"> </w:t>
      </w:r>
      <w:r w:rsidRPr="00EF3F05">
        <w:t xml:space="preserve">European </w:t>
      </w:r>
      <w:proofErr w:type="spellStart"/>
      <w:r w:rsidRPr="00EF3F05">
        <w:t>Commission</w:t>
      </w:r>
      <w:proofErr w:type="spellEnd"/>
      <w:r w:rsidRPr="00EF3F05">
        <w:t xml:space="preserve">, </w:t>
      </w:r>
      <w:r w:rsidRPr="00EF3F05">
        <w:rPr>
          <w:i/>
          <w:iCs/>
        </w:rPr>
        <w:t xml:space="preserve">Transport </w:t>
      </w:r>
      <w:proofErr w:type="spellStart"/>
      <w:r w:rsidRPr="00EF3F05">
        <w:rPr>
          <w:i/>
          <w:iCs/>
        </w:rPr>
        <w:t>and</w:t>
      </w:r>
      <w:proofErr w:type="spellEnd"/>
      <w:r w:rsidRPr="00EF3F05">
        <w:rPr>
          <w:i/>
          <w:iCs/>
        </w:rPr>
        <w:t xml:space="preserve"> </w:t>
      </w:r>
      <w:proofErr w:type="spellStart"/>
      <w:r w:rsidRPr="00EF3F05">
        <w:rPr>
          <w:i/>
          <w:iCs/>
        </w:rPr>
        <w:t>the</w:t>
      </w:r>
      <w:proofErr w:type="spellEnd"/>
      <w:r w:rsidRPr="00EF3F05">
        <w:rPr>
          <w:i/>
          <w:iCs/>
        </w:rPr>
        <w:t xml:space="preserve"> European Green Deal</w:t>
      </w:r>
      <w:r w:rsidRPr="007E14FF">
        <w:t xml:space="preserve">, </w:t>
      </w:r>
      <w:hyperlink r:id="rId22" w:anchor="sus%C8%9Binem-transporturile-eficiente-sigure-%C8%99i-ecologice" w:history="1">
        <w:r w:rsidRPr="007E14FF">
          <w:rPr>
            <w:rStyle w:val="Hyperlink"/>
          </w:rPr>
          <w:t>link</w:t>
        </w:r>
      </w:hyperlink>
    </w:p>
  </w:footnote>
  <w:footnote w:id="25">
    <w:p w14:paraId="076066E3" w14:textId="77777777" w:rsidR="000D1DBC" w:rsidRPr="007E14FF" w:rsidRDefault="000D1DBC" w:rsidP="000D1DBC">
      <w:pPr>
        <w:pStyle w:val="FootnoteText"/>
        <w:spacing w:after="0" w:line="240" w:lineRule="auto"/>
      </w:pPr>
      <w:r w:rsidRPr="007E14FF">
        <w:rPr>
          <w:rStyle w:val="FootnoteReference"/>
        </w:rPr>
        <w:footnoteRef/>
      </w:r>
      <w:r w:rsidRPr="007E14FF">
        <w:t xml:space="preserve"> </w:t>
      </w:r>
      <w:r w:rsidRPr="00205466">
        <w:t xml:space="preserve">European </w:t>
      </w:r>
      <w:proofErr w:type="spellStart"/>
      <w:r w:rsidRPr="00205466">
        <w:t>Commission</w:t>
      </w:r>
      <w:proofErr w:type="spellEnd"/>
      <w:r>
        <w:t>,</w:t>
      </w:r>
      <w:r w:rsidRPr="00205466">
        <w:t xml:space="preserve"> </w:t>
      </w:r>
      <w:r w:rsidRPr="00205466">
        <w:rPr>
          <w:i/>
          <w:iCs/>
        </w:rPr>
        <w:t xml:space="preserve">The </w:t>
      </w:r>
      <w:proofErr w:type="spellStart"/>
      <w:r w:rsidRPr="00205466">
        <w:rPr>
          <w:i/>
          <w:iCs/>
        </w:rPr>
        <w:t>Commission</w:t>
      </w:r>
      <w:proofErr w:type="spellEnd"/>
      <w:r w:rsidRPr="00205466">
        <w:rPr>
          <w:i/>
          <w:iCs/>
        </w:rPr>
        <w:t xml:space="preserve"> </w:t>
      </w:r>
      <w:proofErr w:type="spellStart"/>
      <w:r w:rsidRPr="00205466">
        <w:rPr>
          <w:i/>
          <w:iCs/>
        </w:rPr>
        <w:t>welcomes</w:t>
      </w:r>
      <w:proofErr w:type="spellEnd"/>
      <w:r w:rsidRPr="00205466">
        <w:rPr>
          <w:i/>
          <w:iCs/>
        </w:rPr>
        <w:t xml:space="preserve"> </w:t>
      </w:r>
      <w:proofErr w:type="spellStart"/>
      <w:r w:rsidRPr="00205466">
        <w:rPr>
          <w:i/>
          <w:iCs/>
        </w:rPr>
        <w:t>the</w:t>
      </w:r>
      <w:proofErr w:type="spellEnd"/>
      <w:r w:rsidRPr="00205466">
        <w:rPr>
          <w:i/>
          <w:iCs/>
        </w:rPr>
        <w:t xml:space="preserve"> </w:t>
      </w:r>
      <w:proofErr w:type="spellStart"/>
      <w:r w:rsidRPr="00205466">
        <w:rPr>
          <w:i/>
          <w:iCs/>
        </w:rPr>
        <w:t>finalization</w:t>
      </w:r>
      <w:proofErr w:type="spellEnd"/>
      <w:r w:rsidRPr="00205466">
        <w:rPr>
          <w:i/>
          <w:iCs/>
        </w:rPr>
        <w:t xml:space="preserve"> of </w:t>
      </w:r>
      <w:proofErr w:type="spellStart"/>
      <w:r w:rsidRPr="00205466">
        <w:rPr>
          <w:i/>
          <w:iCs/>
        </w:rPr>
        <w:t>the</w:t>
      </w:r>
      <w:proofErr w:type="spellEnd"/>
      <w:r w:rsidRPr="00205466">
        <w:rPr>
          <w:i/>
          <w:iCs/>
        </w:rPr>
        <w:t xml:space="preserve"> crucial 'Get </w:t>
      </w:r>
      <w:proofErr w:type="spellStart"/>
      <w:r w:rsidRPr="00205466">
        <w:rPr>
          <w:i/>
          <w:iCs/>
        </w:rPr>
        <w:t>ready</w:t>
      </w:r>
      <w:proofErr w:type="spellEnd"/>
      <w:r w:rsidRPr="00205466">
        <w:rPr>
          <w:i/>
          <w:iCs/>
        </w:rPr>
        <w:t xml:space="preserve"> for 55' legislative </w:t>
      </w:r>
      <w:proofErr w:type="spellStart"/>
      <w:r w:rsidRPr="00205466">
        <w:rPr>
          <w:i/>
          <w:iCs/>
        </w:rPr>
        <w:t>package</w:t>
      </w:r>
      <w:proofErr w:type="spellEnd"/>
      <w:r w:rsidRPr="00205466">
        <w:rPr>
          <w:i/>
          <w:iCs/>
        </w:rPr>
        <w:t xml:space="preserve">, </w:t>
      </w:r>
      <w:proofErr w:type="spellStart"/>
      <w:r w:rsidRPr="00205466">
        <w:rPr>
          <w:i/>
          <w:iCs/>
        </w:rPr>
        <w:t>which</w:t>
      </w:r>
      <w:proofErr w:type="spellEnd"/>
      <w:r w:rsidRPr="00205466">
        <w:rPr>
          <w:i/>
          <w:iCs/>
        </w:rPr>
        <w:t xml:space="preserve"> </w:t>
      </w:r>
      <w:proofErr w:type="spellStart"/>
      <w:r w:rsidRPr="00205466">
        <w:rPr>
          <w:i/>
          <w:iCs/>
        </w:rPr>
        <w:t>puts</w:t>
      </w:r>
      <w:proofErr w:type="spellEnd"/>
      <w:r w:rsidRPr="00205466">
        <w:rPr>
          <w:i/>
          <w:iCs/>
        </w:rPr>
        <w:t xml:space="preserve"> </w:t>
      </w:r>
      <w:proofErr w:type="spellStart"/>
      <w:r w:rsidRPr="00205466">
        <w:rPr>
          <w:i/>
          <w:iCs/>
        </w:rPr>
        <w:t>the</w:t>
      </w:r>
      <w:proofErr w:type="spellEnd"/>
      <w:r w:rsidRPr="00205466">
        <w:rPr>
          <w:i/>
          <w:iCs/>
        </w:rPr>
        <w:t xml:space="preserve"> EU on </w:t>
      </w:r>
      <w:proofErr w:type="spellStart"/>
      <w:r w:rsidRPr="00205466">
        <w:rPr>
          <w:i/>
          <w:iCs/>
        </w:rPr>
        <w:t>track</w:t>
      </w:r>
      <w:proofErr w:type="spellEnd"/>
      <w:r w:rsidRPr="00205466">
        <w:rPr>
          <w:i/>
          <w:iCs/>
        </w:rPr>
        <w:t xml:space="preserve"> </w:t>
      </w:r>
      <w:proofErr w:type="spellStart"/>
      <w:r w:rsidRPr="00205466">
        <w:rPr>
          <w:i/>
          <w:iCs/>
        </w:rPr>
        <w:t>to</w:t>
      </w:r>
      <w:proofErr w:type="spellEnd"/>
      <w:r w:rsidRPr="00205466">
        <w:rPr>
          <w:i/>
          <w:iCs/>
        </w:rPr>
        <w:t xml:space="preserve"> </w:t>
      </w:r>
      <w:proofErr w:type="spellStart"/>
      <w:r w:rsidRPr="00205466">
        <w:rPr>
          <w:i/>
          <w:iCs/>
        </w:rPr>
        <w:t>exceed</w:t>
      </w:r>
      <w:proofErr w:type="spellEnd"/>
      <w:r w:rsidRPr="00205466">
        <w:rPr>
          <w:i/>
          <w:iCs/>
        </w:rPr>
        <w:t xml:space="preserve"> </w:t>
      </w:r>
      <w:proofErr w:type="spellStart"/>
      <w:r w:rsidRPr="00205466">
        <w:rPr>
          <w:i/>
          <w:iCs/>
        </w:rPr>
        <w:t>the</w:t>
      </w:r>
      <w:proofErr w:type="spellEnd"/>
      <w:r w:rsidRPr="00205466">
        <w:rPr>
          <w:i/>
          <w:iCs/>
        </w:rPr>
        <w:t xml:space="preserve"> 2030 </w:t>
      </w:r>
      <w:proofErr w:type="spellStart"/>
      <w:r w:rsidRPr="00205466">
        <w:rPr>
          <w:i/>
          <w:iCs/>
        </w:rPr>
        <w:t>targets</w:t>
      </w:r>
      <w:proofErr w:type="spellEnd"/>
      <w:r w:rsidRPr="007E14FF">
        <w:t xml:space="preserve">, </w:t>
      </w:r>
      <w:hyperlink r:id="rId23" w:history="1">
        <w:r w:rsidRPr="007E14FF">
          <w:rPr>
            <w:rStyle w:val="Hyperlink"/>
          </w:rPr>
          <w:t>link</w:t>
        </w:r>
      </w:hyperlink>
    </w:p>
  </w:footnote>
  <w:footnote w:id="26">
    <w:p w14:paraId="350CED54" w14:textId="77777777" w:rsidR="003F4B0E" w:rsidRPr="007E14FF" w:rsidRDefault="003F4B0E" w:rsidP="003F4B0E">
      <w:pPr>
        <w:pStyle w:val="FootnoteText"/>
        <w:spacing w:after="0" w:line="240" w:lineRule="auto"/>
      </w:pPr>
      <w:r w:rsidRPr="007E14FF">
        <w:rPr>
          <w:rStyle w:val="FootnoteReference"/>
        </w:rPr>
        <w:footnoteRef/>
      </w:r>
      <w:r w:rsidRPr="007E14FF">
        <w:t xml:space="preserve"> </w:t>
      </w:r>
      <w:r w:rsidRPr="00084D65">
        <w:t xml:space="preserve">European </w:t>
      </w:r>
      <w:proofErr w:type="spellStart"/>
      <w:r w:rsidRPr="00084D65">
        <w:t>Commission</w:t>
      </w:r>
      <w:proofErr w:type="spellEnd"/>
      <w:r w:rsidRPr="00084D65">
        <w:t xml:space="preserve">, </w:t>
      </w:r>
      <w:proofErr w:type="spellStart"/>
      <w:r w:rsidRPr="008335EC">
        <w:rPr>
          <w:i/>
          <w:iCs/>
        </w:rPr>
        <w:t>Strategy</w:t>
      </w:r>
      <w:proofErr w:type="spellEnd"/>
      <w:r w:rsidRPr="008335EC">
        <w:rPr>
          <w:i/>
          <w:iCs/>
        </w:rPr>
        <w:t xml:space="preserve"> for a </w:t>
      </w:r>
      <w:proofErr w:type="spellStart"/>
      <w:r w:rsidRPr="008335EC">
        <w:rPr>
          <w:i/>
          <w:iCs/>
        </w:rPr>
        <w:t>sustainable</w:t>
      </w:r>
      <w:proofErr w:type="spellEnd"/>
      <w:r w:rsidRPr="008335EC">
        <w:rPr>
          <w:i/>
          <w:iCs/>
        </w:rPr>
        <w:t xml:space="preserve"> </w:t>
      </w:r>
      <w:proofErr w:type="spellStart"/>
      <w:r w:rsidRPr="008335EC">
        <w:rPr>
          <w:i/>
          <w:iCs/>
        </w:rPr>
        <w:t>and</w:t>
      </w:r>
      <w:proofErr w:type="spellEnd"/>
      <w:r w:rsidRPr="008335EC">
        <w:rPr>
          <w:i/>
          <w:iCs/>
        </w:rPr>
        <w:t xml:space="preserve"> </w:t>
      </w:r>
      <w:proofErr w:type="spellStart"/>
      <w:r w:rsidRPr="008335EC">
        <w:rPr>
          <w:i/>
          <w:iCs/>
        </w:rPr>
        <w:t>smart</w:t>
      </w:r>
      <w:proofErr w:type="spellEnd"/>
      <w:r w:rsidRPr="008335EC">
        <w:rPr>
          <w:i/>
          <w:iCs/>
        </w:rPr>
        <w:t xml:space="preserve"> </w:t>
      </w:r>
      <w:proofErr w:type="spellStart"/>
      <w:r w:rsidRPr="008335EC">
        <w:rPr>
          <w:i/>
          <w:iCs/>
        </w:rPr>
        <w:t>mobility</w:t>
      </w:r>
      <w:proofErr w:type="spellEnd"/>
      <w:r w:rsidRPr="008335EC">
        <w:rPr>
          <w:i/>
          <w:iCs/>
        </w:rPr>
        <w:t xml:space="preserve"> – </w:t>
      </w:r>
      <w:proofErr w:type="spellStart"/>
      <w:r w:rsidRPr="008335EC">
        <w:rPr>
          <w:i/>
          <w:iCs/>
        </w:rPr>
        <w:t>putting</w:t>
      </w:r>
      <w:proofErr w:type="spellEnd"/>
      <w:r w:rsidRPr="008335EC">
        <w:rPr>
          <w:i/>
          <w:iCs/>
        </w:rPr>
        <w:t xml:space="preserve"> European transport on </w:t>
      </w:r>
      <w:proofErr w:type="spellStart"/>
      <w:r w:rsidRPr="008335EC">
        <w:rPr>
          <w:i/>
          <w:iCs/>
        </w:rPr>
        <w:t>the</w:t>
      </w:r>
      <w:proofErr w:type="spellEnd"/>
      <w:r w:rsidRPr="008335EC">
        <w:rPr>
          <w:i/>
          <w:iCs/>
        </w:rPr>
        <w:t xml:space="preserve"> </w:t>
      </w:r>
      <w:proofErr w:type="spellStart"/>
      <w:r w:rsidRPr="008335EC">
        <w:rPr>
          <w:i/>
          <w:iCs/>
        </w:rPr>
        <w:t>path</w:t>
      </w:r>
      <w:proofErr w:type="spellEnd"/>
      <w:r w:rsidRPr="008335EC">
        <w:rPr>
          <w:i/>
          <w:iCs/>
        </w:rPr>
        <w:t xml:space="preserve"> of </w:t>
      </w:r>
      <w:proofErr w:type="spellStart"/>
      <w:r w:rsidRPr="008335EC">
        <w:rPr>
          <w:i/>
          <w:iCs/>
        </w:rPr>
        <w:t>the</w:t>
      </w:r>
      <w:proofErr w:type="spellEnd"/>
      <w:r w:rsidRPr="008335EC">
        <w:rPr>
          <w:i/>
          <w:iCs/>
        </w:rPr>
        <w:t xml:space="preserve"> </w:t>
      </w:r>
      <w:proofErr w:type="spellStart"/>
      <w:r w:rsidRPr="008335EC">
        <w:rPr>
          <w:i/>
          <w:iCs/>
        </w:rPr>
        <w:t>future</w:t>
      </w:r>
      <w:proofErr w:type="spellEnd"/>
      <w:r w:rsidRPr="008335EC">
        <w:rPr>
          <w:i/>
          <w:iCs/>
        </w:rPr>
        <w:t xml:space="preserve">, </w:t>
      </w:r>
      <w:proofErr w:type="spellStart"/>
      <w:r w:rsidRPr="008335EC">
        <w:rPr>
          <w:i/>
          <w:iCs/>
        </w:rPr>
        <w:t>December</w:t>
      </w:r>
      <w:proofErr w:type="spellEnd"/>
      <w:r w:rsidRPr="008335EC">
        <w:rPr>
          <w:i/>
          <w:iCs/>
        </w:rPr>
        <w:t xml:space="preserve"> 2020</w:t>
      </w:r>
      <w:r w:rsidRPr="007E14FF">
        <w:rPr>
          <w:rFonts w:cs="Calibri"/>
        </w:rPr>
        <w:t xml:space="preserve">, </w:t>
      </w:r>
      <w:hyperlink r:id="rId24" w:history="1">
        <w:r w:rsidRPr="007E14FF">
          <w:rPr>
            <w:rStyle w:val="Hyperlink"/>
            <w:rFonts w:cs="Calibri"/>
          </w:rPr>
          <w:t>link</w:t>
        </w:r>
      </w:hyperlink>
    </w:p>
  </w:footnote>
  <w:footnote w:id="27">
    <w:p w14:paraId="60BDAB54" w14:textId="77777777" w:rsidR="00CB6B94" w:rsidRPr="007E14FF" w:rsidRDefault="00CB6B94" w:rsidP="00CB6B94">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 xml:space="preserve">, </w:t>
      </w:r>
      <w:hyperlink r:id="rId25" w:history="1">
        <w:r w:rsidRPr="007E14FF">
          <w:rPr>
            <w:rStyle w:val="Hyperlink"/>
          </w:rPr>
          <w:t>link</w:t>
        </w:r>
      </w:hyperlink>
    </w:p>
  </w:footnote>
  <w:footnote w:id="28">
    <w:p w14:paraId="08B70E3B" w14:textId="77777777" w:rsidR="00371DA4" w:rsidRPr="007E14FF" w:rsidRDefault="00371DA4" w:rsidP="00371DA4">
      <w:pPr>
        <w:pStyle w:val="FootnoteText"/>
        <w:spacing w:after="0" w:line="240" w:lineRule="auto"/>
        <w:rPr>
          <w:rFonts w:cs="Calibri"/>
        </w:rPr>
      </w:pPr>
      <w:r w:rsidRPr="007E14FF">
        <w:rPr>
          <w:rStyle w:val="FootnoteReference"/>
        </w:rPr>
        <w:footnoteRef/>
      </w:r>
      <w:r w:rsidRPr="007E14FF">
        <w:t xml:space="preserve"> </w:t>
      </w:r>
      <w:proofErr w:type="spellStart"/>
      <w:r w:rsidRPr="007E02C5">
        <w:rPr>
          <w:rFonts w:cs="Calibri"/>
        </w:rPr>
        <w:t>Regulation</w:t>
      </w:r>
      <w:proofErr w:type="spellEnd"/>
      <w:r w:rsidRPr="007E02C5">
        <w:rPr>
          <w:rFonts w:cs="Calibri"/>
        </w:rPr>
        <w:t xml:space="preserve"> (EU) 2023/857 (</w:t>
      </w:r>
      <w:proofErr w:type="spellStart"/>
      <w:r w:rsidRPr="007E02C5">
        <w:rPr>
          <w:rFonts w:cs="Calibri"/>
        </w:rPr>
        <w:t>Effort</w:t>
      </w:r>
      <w:proofErr w:type="spellEnd"/>
      <w:r w:rsidRPr="007E02C5">
        <w:rPr>
          <w:rFonts w:cs="Calibri"/>
        </w:rPr>
        <w:t xml:space="preserve"> </w:t>
      </w:r>
      <w:proofErr w:type="spellStart"/>
      <w:r w:rsidRPr="007E02C5">
        <w:rPr>
          <w:rFonts w:cs="Calibri"/>
        </w:rPr>
        <w:t>Sharing</w:t>
      </w:r>
      <w:proofErr w:type="spellEnd"/>
      <w:r w:rsidRPr="007E02C5">
        <w:rPr>
          <w:rFonts w:cs="Calibri"/>
        </w:rPr>
        <w:t xml:space="preserve"> </w:t>
      </w:r>
      <w:proofErr w:type="spellStart"/>
      <w:r w:rsidRPr="007E02C5">
        <w:rPr>
          <w:rFonts w:cs="Calibri"/>
        </w:rPr>
        <w:t>Regulation</w:t>
      </w:r>
      <w:proofErr w:type="spellEnd"/>
      <w:r w:rsidRPr="007E02C5">
        <w:rPr>
          <w:rFonts w:cs="Calibri"/>
        </w:rPr>
        <w:t xml:space="preserve">) </w:t>
      </w:r>
      <w:proofErr w:type="spellStart"/>
      <w:r w:rsidRPr="007E02C5">
        <w:rPr>
          <w:rFonts w:cs="Calibri"/>
        </w:rPr>
        <w:t>is</w:t>
      </w:r>
      <w:proofErr w:type="spellEnd"/>
      <w:r w:rsidRPr="007E02C5">
        <w:rPr>
          <w:rFonts w:cs="Calibri"/>
        </w:rPr>
        <w:t xml:space="preserve"> </w:t>
      </w:r>
      <w:proofErr w:type="spellStart"/>
      <w:r w:rsidRPr="007E02C5">
        <w:rPr>
          <w:rFonts w:cs="Calibri"/>
        </w:rPr>
        <w:t>the</w:t>
      </w:r>
      <w:proofErr w:type="spellEnd"/>
      <w:r w:rsidRPr="007E02C5">
        <w:rPr>
          <w:rFonts w:cs="Calibri"/>
        </w:rPr>
        <w:t xml:space="preserve"> legislative </w:t>
      </w:r>
      <w:proofErr w:type="spellStart"/>
      <w:r w:rsidRPr="007E02C5">
        <w:rPr>
          <w:rFonts w:cs="Calibri"/>
        </w:rPr>
        <w:t>framework</w:t>
      </w:r>
      <w:proofErr w:type="spellEnd"/>
      <w:r w:rsidRPr="007E02C5">
        <w:rPr>
          <w:rFonts w:cs="Calibri"/>
        </w:rPr>
        <w:t xml:space="preserve"> </w:t>
      </w:r>
      <w:proofErr w:type="spellStart"/>
      <w:r w:rsidRPr="007E02C5">
        <w:rPr>
          <w:rFonts w:cs="Calibri"/>
        </w:rPr>
        <w:t>that</w:t>
      </w:r>
      <w:proofErr w:type="spellEnd"/>
      <w:r w:rsidRPr="007E02C5">
        <w:rPr>
          <w:rFonts w:cs="Calibri"/>
        </w:rPr>
        <w:t xml:space="preserve"> </w:t>
      </w:r>
      <w:proofErr w:type="spellStart"/>
      <w:r w:rsidRPr="007E02C5">
        <w:rPr>
          <w:rFonts w:cs="Calibri"/>
        </w:rPr>
        <w:t>sets</w:t>
      </w:r>
      <w:proofErr w:type="spellEnd"/>
      <w:r w:rsidRPr="007E02C5">
        <w:rPr>
          <w:rFonts w:cs="Calibri"/>
        </w:rPr>
        <w:t xml:space="preserve"> </w:t>
      </w:r>
      <w:proofErr w:type="spellStart"/>
      <w:r w:rsidRPr="007E02C5">
        <w:rPr>
          <w:rFonts w:cs="Calibri"/>
        </w:rPr>
        <w:t>the</w:t>
      </w:r>
      <w:proofErr w:type="spellEnd"/>
      <w:r w:rsidRPr="007E02C5">
        <w:rPr>
          <w:rFonts w:cs="Calibri"/>
        </w:rPr>
        <w:t xml:space="preserve"> </w:t>
      </w:r>
      <w:proofErr w:type="spellStart"/>
      <w:r w:rsidRPr="007E02C5">
        <w:rPr>
          <w:rFonts w:cs="Calibri"/>
        </w:rPr>
        <w:t>national</w:t>
      </w:r>
      <w:proofErr w:type="spellEnd"/>
      <w:r w:rsidRPr="007E02C5">
        <w:rPr>
          <w:rFonts w:cs="Calibri"/>
        </w:rPr>
        <w:t xml:space="preserve"> </w:t>
      </w:r>
      <w:proofErr w:type="spellStart"/>
      <w:r w:rsidRPr="007E02C5">
        <w:rPr>
          <w:rFonts w:cs="Calibri"/>
        </w:rPr>
        <w:t>target</w:t>
      </w:r>
      <w:proofErr w:type="spellEnd"/>
      <w:r w:rsidRPr="007E02C5">
        <w:rPr>
          <w:rFonts w:cs="Calibri"/>
        </w:rPr>
        <w:t xml:space="preserve"> for </w:t>
      </w:r>
      <w:proofErr w:type="spellStart"/>
      <w:r w:rsidRPr="007E02C5">
        <w:rPr>
          <w:rFonts w:cs="Calibri"/>
        </w:rPr>
        <w:t>reducing</w:t>
      </w:r>
      <w:proofErr w:type="spellEnd"/>
      <w:r w:rsidRPr="007E02C5">
        <w:rPr>
          <w:rFonts w:cs="Calibri"/>
        </w:rPr>
        <w:t xml:space="preserve"> </w:t>
      </w:r>
      <w:proofErr w:type="spellStart"/>
      <w:r w:rsidRPr="007E02C5">
        <w:rPr>
          <w:rFonts w:cs="Calibri"/>
        </w:rPr>
        <w:t>greenhouse</w:t>
      </w:r>
      <w:proofErr w:type="spellEnd"/>
      <w:r w:rsidRPr="007E02C5">
        <w:rPr>
          <w:rFonts w:cs="Calibri"/>
        </w:rPr>
        <w:t xml:space="preserve"> gas </w:t>
      </w:r>
      <w:proofErr w:type="spellStart"/>
      <w:r w:rsidRPr="007E02C5">
        <w:rPr>
          <w:rFonts w:cs="Calibri"/>
        </w:rPr>
        <w:t>emissions</w:t>
      </w:r>
      <w:proofErr w:type="spellEnd"/>
      <w:r w:rsidRPr="007E02C5">
        <w:rPr>
          <w:rFonts w:cs="Calibri"/>
        </w:rPr>
        <w:t xml:space="preserve">. It </w:t>
      </w:r>
      <w:proofErr w:type="spellStart"/>
      <w:r w:rsidRPr="007E02C5">
        <w:rPr>
          <w:rFonts w:cs="Calibri"/>
        </w:rPr>
        <w:t>aims</w:t>
      </w:r>
      <w:proofErr w:type="spellEnd"/>
      <w:r w:rsidRPr="007E02C5">
        <w:rPr>
          <w:rFonts w:cs="Calibri"/>
        </w:rPr>
        <w:t xml:space="preserve"> </w:t>
      </w:r>
      <w:proofErr w:type="spellStart"/>
      <w:r w:rsidRPr="007E02C5">
        <w:rPr>
          <w:rFonts w:cs="Calibri"/>
        </w:rPr>
        <w:t>to</w:t>
      </w:r>
      <w:proofErr w:type="spellEnd"/>
      <w:r w:rsidRPr="007E02C5">
        <w:rPr>
          <w:rFonts w:cs="Calibri"/>
        </w:rPr>
        <w:t xml:space="preserve"> </w:t>
      </w:r>
      <w:proofErr w:type="spellStart"/>
      <w:r w:rsidRPr="007E02C5">
        <w:rPr>
          <w:rFonts w:cs="Calibri"/>
        </w:rPr>
        <w:t>adapt</w:t>
      </w:r>
      <w:proofErr w:type="spellEnd"/>
      <w:r w:rsidRPr="007E02C5">
        <w:rPr>
          <w:rFonts w:cs="Calibri"/>
        </w:rPr>
        <w:t xml:space="preserve"> </w:t>
      </w:r>
      <w:proofErr w:type="spellStart"/>
      <w:r w:rsidRPr="007E02C5">
        <w:rPr>
          <w:rFonts w:cs="Calibri"/>
        </w:rPr>
        <w:t>actions</w:t>
      </w:r>
      <w:proofErr w:type="spellEnd"/>
      <w:r w:rsidRPr="007E02C5">
        <w:rPr>
          <w:rFonts w:cs="Calibri"/>
        </w:rPr>
        <w:t xml:space="preserve"> in </w:t>
      </w:r>
      <w:proofErr w:type="spellStart"/>
      <w:r w:rsidRPr="007E02C5">
        <w:rPr>
          <w:rFonts w:cs="Calibri"/>
        </w:rPr>
        <w:t>the</w:t>
      </w:r>
      <w:proofErr w:type="spellEnd"/>
      <w:r w:rsidRPr="007E02C5">
        <w:rPr>
          <w:rFonts w:cs="Calibri"/>
        </w:rPr>
        <w:t xml:space="preserve"> </w:t>
      </w:r>
      <w:proofErr w:type="spellStart"/>
      <w:r w:rsidRPr="007E02C5">
        <w:rPr>
          <w:rFonts w:cs="Calibri"/>
        </w:rPr>
        <w:t>targeted</w:t>
      </w:r>
      <w:proofErr w:type="spellEnd"/>
      <w:r w:rsidRPr="007E02C5">
        <w:rPr>
          <w:rFonts w:cs="Calibri"/>
        </w:rPr>
        <w:t xml:space="preserve"> </w:t>
      </w:r>
      <w:proofErr w:type="spellStart"/>
      <w:r w:rsidRPr="007E02C5">
        <w:rPr>
          <w:rFonts w:cs="Calibri"/>
        </w:rPr>
        <w:t>sectors</w:t>
      </w:r>
      <w:proofErr w:type="spellEnd"/>
      <w:r w:rsidRPr="007E02C5">
        <w:rPr>
          <w:rFonts w:cs="Calibri"/>
        </w:rPr>
        <w:t xml:space="preserve"> </w:t>
      </w:r>
      <w:proofErr w:type="spellStart"/>
      <w:r w:rsidRPr="007E02C5">
        <w:rPr>
          <w:rFonts w:cs="Calibri"/>
        </w:rPr>
        <w:t>towards</w:t>
      </w:r>
      <w:proofErr w:type="spellEnd"/>
      <w:r w:rsidRPr="007E02C5">
        <w:rPr>
          <w:rFonts w:cs="Calibri"/>
        </w:rPr>
        <w:t xml:space="preserve"> </w:t>
      </w:r>
      <w:proofErr w:type="spellStart"/>
      <w:r w:rsidRPr="007E02C5">
        <w:rPr>
          <w:rFonts w:cs="Calibri"/>
        </w:rPr>
        <w:t>the</w:t>
      </w:r>
      <w:proofErr w:type="spellEnd"/>
      <w:r w:rsidRPr="007E02C5">
        <w:rPr>
          <w:rFonts w:cs="Calibri"/>
        </w:rPr>
        <w:t xml:space="preserve"> EU </w:t>
      </w:r>
      <w:proofErr w:type="spellStart"/>
      <w:r w:rsidRPr="007E02C5">
        <w:rPr>
          <w:rFonts w:cs="Calibri"/>
        </w:rPr>
        <w:t>economy-wide</w:t>
      </w:r>
      <w:proofErr w:type="spellEnd"/>
      <w:r w:rsidRPr="007E02C5">
        <w:rPr>
          <w:rFonts w:cs="Calibri"/>
        </w:rPr>
        <w:t xml:space="preserve"> </w:t>
      </w:r>
      <w:proofErr w:type="spellStart"/>
      <w:r w:rsidRPr="007E02C5">
        <w:rPr>
          <w:rFonts w:cs="Calibri"/>
        </w:rPr>
        <w:t>target</w:t>
      </w:r>
      <w:proofErr w:type="spellEnd"/>
      <w:r w:rsidRPr="007E02C5">
        <w:rPr>
          <w:rFonts w:cs="Calibri"/>
        </w:rPr>
        <w:t xml:space="preserve"> of </w:t>
      </w:r>
      <w:proofErr w:type="spellStart"/>
      <w:r w:rsidRPr="007E02C5">
        <w:rPr>
          <w:rFonts w:cs="Calibri"/>
        </w:rPr>
        <w:t>reducing</w:t>
      </w:r>
      <w:proofErr w:type="spellEnd"/>
      <w:r w:rsidRPr="007E02C5">
        <w:rPr>
          <w:rFonts w:cs="Calibri"/>
        </w:rPr>
        <w:t xml:space="preserve"> </w:t>
      </w:r>
      <w:proofErr w:type="spellStart"/>
      <w:r w:rsidRPr="007E02C5">
        <w:rPr>
          <w:rFonts w:cs="Calibri"/>
        </w:rPr>
        <w:t>greenhouse</w:t>
      </w:r>
      <w:proofErr w:type="spellEnd"/>
      <w:r w:rsidRPr="007E02C5">
        <w:rPr>
          <w:rFonts w:cs="Calibri"/>
        </w:rPr>
        <w:t xml:space="preserve"> gas </w:t>
      </w:r>
      <w:proofErr w:type="spellStart"/>
      <w:r w:rsidRPr="007E02C5">
        <w:rPr>
          <w:rFonts w:cs="Calibri"/>
        </w:rPr>
        <w:t>emissions</w:t>
      </w:r>
      <w:proofErr w:type="spellEnd"/>
      <w:r w:rsidRPr="007E02C5">
        <w:rPr>
          <w:rFonts w:cs="Calibri"/>
        </w:rPr>
        <w:t xml:space="preserve"> </w:t>
      </w:r>
      <w:proofErr w:type="spellStart"/>
      <w:r w:rsidRPr="007E02C5">
        <w:rPr>
          <w:rFonts w:cs="Calibri"/>
        </w:rPr>
        <w:t>by</w:t>
      </w:r>
      <w:proofErr w:type="spellEnd"/>
      <w:r w:rsidRPr="007E02C5">
        <w:rPr>
          <w:rFonts w:cs="Calibri"/>
        </w:rPr>
        <w:t xml:space="preserve"> at </w:t>
      </w:r>
      <w:proofErr w:type="spellStart"/>
      <w:r w:rsidRPr="007E02C5">
        <w:rPr>
          <w:rFonts w:cs="Calibri"/>
        </w:rPr>
        <w:t>least</w:t>
      </w:r>
      <w:proofErr w:type="spellEnd"/>
      <w:r w:rsidRPr="007E02C5">
        <w:rPr>
          <w:rFonts w:cs="Calibri"/>
        </w:rPr>
        <w:t xml:space="preserve"> 55% </w:t>
      </w:r>
      <w:proofErr w:type="spellStart"/>
      <w:r w:rsidRPr="007E02C5">
        <w:rPr>
          <w:rFonts w:cs="Calibri"/>
        </w:rPr>
        <w:t>compared</w:t>
      </w:r>
      <w:proofErr w:type="spellEnd"/>
      <w:r w:rsidRPr="007E02C5">
        <w:rPr>
          <w:rFonts w:cs="Calibri"/>
        </w:rPr>
        <w:t xml:space="preserve"> </w:t>
      </w:r>
      <w:proofErr w:type="spellStart"/>
      <w:r w:rsidRPr="007E02C5">
        <w:rPr>
          <w:rFonts w:cs="Calibri"/>
        </w:rPr>
        <w:t>to</w:t>
      </w:r>
      <w:proofErr w:type="spellEnd"/>
      <w:r w:rsidRPr="007E02C5">
        <w:rPr>
          <w:rFonts w:cs="Calibri"/>
        </w:rPr>
        <w:t xml:space="preserve"> 1990 </w:t>
      </w:r>
      <w:proofErr w:type="spellStart"/>
      <w:r w:rsidRPr="007E02C5">
        <w:rPr>
          <w:rFonts w:cs="Calibri"/>
        </w:rPr>
        <w:t>levels</w:t>
      </w:r>
      <w:proofErr w:type="spellEnd"/>
      <w:r w:rsidRPr="007E02C5">
        <w:rPr>
          <w:rFonts w:cs="Calibri"/>
        </w:rPr>
        <w:t xml:space="preserve">. </w:t>
      </w:r>
      <w:proofErr w:type="spellStart"/>
      <w:r w:rsidRPr="007E02C5">
        <w:rPr>
          <w:rFonts w:cs="Calibri"/>
        </w:rPr>
        <w:t>This</w:t>
      </w:r>
      <w:proofErr w:type="spellEnd"/>
      <w:r w:rsidRPr="007E02C5">
        <w:rPr>
          <w:rFonts w:cs="Calibri"/>
        </w:rPr>
        <w:t xml:space="preserve"> </w:t>
      </w:r>
      <w:proofErr w:type="spellStart"/>
      <w:r w:rsidRPr="007E02C5">
        <w:rPr>
          <w:rFonts w:cs="Calibri"/>
        </w:rPr>
        <w:t>target</w:t>
      </w:r>
      <w:proofErr w:type="spellEnd"/>
      <w:r w:rsidRPr="007E02C5">
        <w:rPr>
          <w:rFonts w:cs="Calibri"/>
        </w:rPr>
        <w:t xml:space="preserve"> </w:t>
      </w:r>
      <w:proofErr w:type="spellStart"/>
      <w:r w:rsidRPr="007E02C5">
        <w:rPr>
          <w:rFonts w:cs="Calibri"/>
        </w:rPr>
        <w:t>applies</w:t>
      </w:r>
      <w:proofErr w:type="spellEnd"/>
      <w:r w:rsidRPr="007E02C5">
        <w:rPr>
          <w:rFonts w:cs="Calibri"/>
        </w:rPr>
        <w:t xml:space="preserve"> </w:t>
      </w:r>
      <w:proofErr w:type="spellStart"/>
      <w:r w:rsidRPr="007E02C5">
        <w:rPr>
          <w:rFonts w:cs="Calibri"/>
        </w:rPr>
        <w:t>to</w:t>
      </w:r>
      <w:proofErr w:type="spellEnd"/>
      <w:r w:rsidRPr="007E02C5">
        <w:rPr>
          <w:rFonts w:cs="Calibri"/>
        </w:rPr>
        <w:t xml:space="preserve"> </w:t>
      </w:r>
      <w:proofErr w:type="spellStart"/>
      <w:r w:rsidRPr="007E02C5">
        <w:rPr>
          <w:rFonts w:cs="Calibri"/>
        </w:rPr>
        <w:t>sectors</w:t>
      </w:r>
      <w:proofErr w:type="spellEnd"/>
      <w:r w:rsidRPr="007E02C5">
        <w:rPr>
          <w:rFonts w:cs="Calibri"/>
        </w:rPr>
        <w:t xml:space="preserve"> </w:t>
      </w:r>
      <w:proofErr w:type="spellStart"/>
      <w:r w:rsidRPr="007E02C5">
        <w:rPr>
          <w:rFonts w:cs="Calibri"/>
        </w:rPr>
        <w:t>outside</w:t>
      </w:r>
      <w:proofErr w:type="spellEnd"/>
      <w:r w:rsidRPr="007E02C5">
        <w:rPr>
          <w:rFonts w:cs="Calibri"/>
        </w:rPr>
        <w:t xml:space="preserve"> </w:t>
      </w:r>
      <w:proofErr w:type="spellStart"/>
      <w:r w:rsidRPr="007E02C5">
        <w:rPr>
          <w:rFonts w:cs="Calibri"/>
        </w:rPr>
        <w:t>the</w:t>
      </w:r>
      <w:proofErr w:type="spellEnd"/>
      <w:r w:rsidRPr="007E02C5">
        <w:rPr>
          <w:rFonts w:cs="Calibri"/>
        </w:rPr>
        <w:t xml:space="preserve"> </w:t>
      </w:r>
      <w:proofErr w:type="spellStart"/>
      <w:r w:rsidRPr="007E02C5">
        <w:rPr>
          <w:rFonts w:cs="Calibri"/>
        </w:rPr>
        <w:t>current</w:t>
      </w:r>
      <w:proofErr w:type="spellEnd"/>
      <w:r w:rsidRPr="007E02C5">
        <w:rPr>
          <w:rFonts w:cs="Calibri"/>
        </w:rPr>
        <w:t xml:space="preserve"> EU </w:t>
      </w:r>
      <w:proofErr w:type="spellStart"/>
      <w:r w:rsidRPr="007E02C5">
        <w:rPr>
          <w:rFonts w:cs="Calibri"/>
        </w:rPr>
        <w:t>emissions</w:t>
      </w:r>
      <w:proofErr w:type="spellEnd"/>
      <w:r w:rsidRPr="007E02C5">
        <w:rPr>
          <w:rFonts w:cs="Calibri"/>
        </w:rPr>
        <w:t xml:space="preserve"> </w:t>
      </w:r>
      <w:proofErr w:type="spellStart"/>
      <w:r w:rsidRPr="007E02C5">
        <w:rPr>
          <w:rFonts w:cs="Calibri"/>
        </w:rPr>
        <w:t>trading</w:t>
      </w:r>
      <w:proofErr w:type="spellEnd"/>
      <w:r w:rsidRPr="007E02C5">
        <w:rPr>
          <w:rFonts w:cs="Calibri"/>
        </w:rPr>
        <w:t xml:space="preserve"> scheme, in particular </w:t>
      </w:r>
      <w:proofErr w:type="spellStart"/>
      <w:r w:rsidRPr="007E02C5">
        <w:rPr>
          <w:rFonts w:cs="Calibri"/>
        </w:rPr>
        <w:t>buildings</w:t>
      </w:r>
      <w:proofErr w:type="spellEnd"/>
      <w:r w:rsidRPr="007E02C5">
        <w:rPr>
          <w:rFonts w:cs="Calibri"/>
        </w:rPr>
        <w:t xml:space="preserve"> (</w:t>
      </w:r>
      <w:proofErr w:type="spellStart"/>
      <w:r w:rsidRPr="007E02C5">
        <w:rPr>
          <w:rFonts w:cs="Calibri"/>
        </w:rPr>
        <w:t>heating</w:t>
      </w:r>
      <w:proofErr w:type="spellEnd"/>
      <w:r w:rsidRPr="007E02C5">
        <w:rPr>
          <w:rFonts w:cs="Calibri"/>
        </w:rPr>
        <w:t xml:space="preserve"> </w:t>
      </w:r>
      <w:proofErr w:type="spellStart"/>
      <w:r w:rsidRPr="007E02C5">
        <w:rPr>
          <w:rFonts w:cs="Calibri"/>
        </w:rPr>
        <w:t>and</w:t>
      </w:r>
      <w:proofErr w:type="spellEnd"/>
      <w:r w:rsidRPr="007E02C5">
        <w:rPr>
          <w:rFonts w:cs="Calibri"/>
        </w:rPr>
        <w:t xml:space="preserve"> </w:t>
      </w:r>
      <w:proofErr w:type="spellStart"/>
      <w:r w:rsidRPr="007E02C5">
        <w:rPr>
          <w:rFonts w:cs="Calibri"/>
        </w:rPr>
        <w:t>cooling</w:t>
      </w:r>
      <w:proofErr w:type="spellEnd"/>
      <w:r w:rsidRPr="007E02C5">
        <w:rPr>
          <w:rFonts w:cs="Calibri"/>
        </w:rPr>
        <w:t xml:space="preserve">), </w:t>
      </w:r>
      <w:proofErr w:type="spellStart"/>
      <w:r w:rsidRPr="007E02C5">
        <w:rPr>
          <w:rFonts w:cs="Calibri"/>
        </w:rPr>
        <w:t>road</w:t>
      </w:r>
      <w:proofErr w:type="spellEnd"/>
      <w:r w:rsidRPr="007E02C5">
        <w:rPr>
          <w:rFonts w:cs="Calibri"/>
        </w:rPr>
        <w:t xml:space="preserve"> transport, </w:t>
      </w:r>
      <w:proofErr w:type="spellStart"/>
      <w:r w:rsidRPr="007E02C5">
        <w:rPr>
          <w:rFonts w:cs="Calibri"/>
        </w:rPr>
        <w:t>agriculture</w:t>
      </w:r>
      <w:proofErr w:type="spellEnd"/>
      <w:r w:rsidRPr="007E02C5">
        <w:rPr>
          <w:rFonts w:cs="Calibri"/>
        </w:rPr>
        <w:t xml:space="preserve">, </w:t>
      </w:r>
      <w:proofErr w:type="spellStart"/>
      <w:r w:rsidRPr="007E02C5">
        <w:rPr>
          <w:rFonts w:cs="Calibri"/>
        </w:rPr>
        <w:t>waste</w:t>
      </w:r>
      <w:proofErr w:type="spellEnd"/>
      <w:r w:rsidRPr="007E02C5">
        <w:rPr>
          <w:rFonts w:cs="Calibri"/>
        </w:rPr>
        <w:t xml:space="preserve"> </w:t>
      </w:r>
      <w:proofErr w:type="spellStart"/>
      <w:r w:rsidRPr="007E02C5">
        <w:rPr>
          <w:rFonts w:cs="Calibri"/>
        </w:rPr>
        <w:t>and</w:t>
      </w:r>
      <w:proofErr w:type="spellEnd"/>
      <w:r w:rsidRPr="007E02C5">
        <w:rPr>
          <w:rFonts w:cs="Calibri"/>
        </w:rPr>
        <w:t xml:space="preserve"> </w:t>
      </w:r>
      <w:proofErr w:type="spellStart"/>
      <w:r w:rsidRPr="007E02C5">
        <w:rPr>
          <w:rFonts w:cs="Calibri"/>
        </w:rPr>
        <w:t>small</w:t>
      </w:r>
      <w:proofErr w:type="spellEnd"/>
      <w:r w:rsidRPr="007E02C5">
        <w:rPr>
          <w:rFonts w:cs="Calibri"/>
        </w:rPr>
        <w:t xml:space="preserve"> </w:t>
      </w:r>
      <w:proofErr w:type="spellStart"/>
      <w:r w:rsidRPr="007E02C5">
        <w:rPr>
          <w:rFonts w:cs="Calibri"/>
        </w:rPr>
        <w:t>and</w:t>
      </w:r>
      <w:proofErr w:type="spellEnd"/>
      <w:r w:rsidRPr="007E02C5">
        <w:rPr>
          <w:rFonts w:cs="Calibri"/>
        </w:rPr>
        <w:t xml:space="preserve"> </w:t>
      </w:r>
      <w:proofErr w:type="spellStart"/>
      <w:r w:rsidRPr="007E02C5">
        <w:rPr>
          <w:rFonts w:cs="Calibri"/>
        </w:rPr>
        <w:t>buildings</w:t>
      </w:r>
      <w:proofErr w:type="spellEnd"/>
      <w:r w:rsidRPr="007E02C5">
        <w:rPr>
          <w:rFonts w:cs="Calibri"/>
        </w:rPr>
        <w:t xml:space="preserve"> (</w:t>
      </w:r>
      <w:proofErr w:type="spellStart"/>
      <w:r w:rsidRPr="007E02C5">
        <w:rPr>
          <w:rFonts w:cs="Calibri"/>
        </w:rPr>
        <w:t>heating</w:t>
      </w:r>
      <w:proofErr w:type="spellEnd"/>
      <w:r w:rsidRPr="007E02C5">
        <w:rPr>
          <w:rFonts w:cs="Calibri"/>
        </w:rPr>
        <w:t xml:space="preserve"> </w:t>
      </w:r>
      <w:proofErr w:type="spellStart"/>
      <w:r w:rsidRPr="007E02C5">
        <w:rPr>
          <w:rFonts w:cs="Calibri"/>
        </w:rPr>
        <w:t>and</w:t>
      </w:r>
      <w:proofErr w:type="spellEnd"/>
      <w:r w:rsidRPr="007E02C5">
        <w:rPr>
          <w:rFonts w:cs="Calibri"/>
        </w:rPr>
        <w:t xml:space="preserve"> </w:t>
      </w:r>
      <w:proofErr w:type="spellStart"/>
      <w:r w:rsidRPr="007E02C5">
        <w:rPr>
          <w:rFonts w:cs="Calibri"/>
        </w:rPr>
        <w:t>cooling</w:t>
      </w:r>
      <w:proofErr w:type="spellEnd"/>
      <w:r w:rsidRPr="007E02C5">
        <w:rPr>
          <w:rFonts w:cs="Calibri"/>
        </w:rPr>
        <w:t>)</w:t>
      </w:r>
    </w:p>
  </w:footnote>
  <w:footnote w:id="29">
    <w:p w14:paraId="5446160F" w14:textId="77777777" w:rsidR="0069589D" w:rsidRPr="007E14FF" w:rsidRDefault="0069589D" w:rsidP="0069589D">
      <w:pPr>
        <w:pStyle w:val="FootnoteText"/>
        <w:spacing w:after="0" w:line="240" w:lineRule="auto"/>
      </w:pPr>
      <w:r w:rsidRPr="007E14FF">
        <w:rPr>
          <w:rStyle w:val="FootnoteReference"/>
        </w:rPr>
        <w:footnoteRef/>
      </w:r>
      <w:r w:rsidRPr="007E14FF">
        <w:t xml:space="preserve"> </w:t>
      </w:r>
      <w:r w:rsidRPr="007B3D8F">
        <w:t xml:space="preserve">European </w:t>
      </w:r>
      <w:proofErr w:type="spellStart"/>
      <w:r w:rsidRPr="007B3D8F">
        <w:t>Commission</w:t>
      </w:r>
      <w:proofErr w:type="spellEnd"/>
      <w:r w:rsidRPr="007B3D8F">
        <w:t xml:space="preserve">, Council </w:t>
      </w:r>
      <w:proofErr w:type="spellStart"/>
      <w:r w:rsidRPr="007B3D8F">
        <w:t>Recommendation</w:t>
      </w:r>
      <w:proofErr w:type="spellEnd"/>
      <w:r w:rsidRPr="007B3D8F">
        <w:t xml:space="preserve"> on </w:t>
      </w:r>
      <w:proofErr w:type="spellStart"/>
      <w:r w:rsidRPr="007B3D8F">
        <w:t>the</w:t>
      </w:r>
      <w:proofErr w:type="spellEnd"/>
      <w:r w:rsidRPr="007B3D8F">
        <w:t xml:space="preserve"> economic, social, </w:t>
      </w:r>
      <w:proofErr w:type="spellStart"/>
      <w:r w:rsidRPr="007B3D8F">
        <w:t>employment</w:t>
      </w:r>
      <w:proofErr w:type="spellEnd"/>
      <w:r w:rsidRPr="007B3D8F">
        <w:t xml:space="preserve">, structural </w:t>
      </w:r>
      <w:proofErr w:type="spellStart"/>
      <w:r w:rsidRPr="007B3D8F">
        <w:t>and</w:t>
      </w:r>
      <w:proofErr w:type="spellEnd"/>
      <w:r w:rsidRPr="007B3D8F">
        <w:t xml:space="preserve"> </w:t>
      </w:r>
      <w:proofErr w:type="spellStart"/>
      <w:r w:rsidRPr="007B3D8F">
        <w:t>budgetary</w:t>
      </w:r>
      <w:proofErr w:type="spellEnd"/>
      <w:r w:rsidRPr="007B3D8F">
        <w:t xml:space="preserve"> </w:t>
      </w:r>
      <w:proofErr w:type="spellStart"/>
      <w:r w:rsidRPr="007B3D8F">
        <w:t>policies</w:t>
      </w:r>
      <w:proofErr w:type="spellEnd"/>
      <w:r w:rsidRPr="007B3D8F">
        <w:t xml:space="preserve"> of Romania, 2024</w:t>
      </w:r>
      <w:r w:rsidRPr="007E14FF">
        <w:t xml:space="preserve">, </w:t>
      </w:r>
      <w:hyperlink r:id="rId26" w:history="1">
        <w:r w:rsidRPr="007E14FF">
          <w:rPr>
            <w:rStyle w:val="Hyperlink"/>
          </w:rPr>
          <w:t>link</w:t>
        </w:r>
      </w:hyperlink>
    </w:p>
  </w:footnote>
  <w:footnote w:id="30">
    <w:p w14:paraId="1F64260B" w14:textId="77777777" w:rsidR="00D856FA" w:rsidRPr="007E14FF" w:rsidRDefault="00D856FA" w:rsidP="00D856FA">
      <w:pPr>
        <w:spacing w:after="0" w:line="240" w:lineRule="auto"/>
        <w:rPr>
          <w:rFonts w:eastAsiaTheme="minorEastAsia" w:cstheme="minorBidi"/>
          <w:color w:val="auto"/>
          <w:sz w:val="20"/>
          <w:szCs w:val="20"/>
          <w14:ligatures w14:val="none"/>
        </w:rPr>
      </w:pPr>
      <w:r w:rsidRPr="007E14FF">
        <w:rPr>
          <w:rStyle w:val="FootnoteReference"/>
          <w:sz w:val="20"/>
          <w:szCs w:val="20"/>
        </w:rPr>
        <w:footnoteRef/>
      </w:r>
      <w:r w:rsidRPr="007E14FF">
        <w:rPr>
          <w:sz w:val="20"/>
          <w:szCs w:val="20"/>
        </w:rPr>
        <w:t xml:space="preserve"> </w:t>
      </w:r>
      <w:r w:rsidRPr="00777EAE">
        <w:rPr>
          <w:sz w:val="20"/>
          <w:szCs w:val="20"/>
        </w:rPr>
        <w:t>Government of Romania, National Strategy for the Sustainable Development of Romania 2030</w:t>
      </w:r>
      <w:r w:rsidRPr="007E14FF">
        <w:rPr>
          <w:rFonts w:eastAsiaTheme="minorEastAsia" w:cstheme="minorBidi"/>
          <w:color w:val="auto"/>
          <w:sz w:val="20"/>
          <w:szCs w:val="20"/>
          <w14:ligatures w14:val="none"/>
        </w:rPr>
        <w:t xml:space="preserve">, </w:t>
      </w:r>
      <w:hyperlink r:id="rId27" w:history="1">
        <w:r w:rsidRPr="007E14FF">
          <w:rPr>
            <w:rStyle w:val="Hyperlink"/>
            <w:rFonts w:eastAsiaTheme="minorEastAsia" w:cstheme="minorBidi"/>
            <w:sz w:val="20"/>
            <w:szCs w:val="20"/>
            <w14:ligatures w14:val="none"/>
          </w:rPr>
          <w:t>link</w:t>
        </w:r>
      </w:hyperlink>
      <w:r w:rsidRPr="007E14FF">
        <w:rPr>
          <w:rFonts w:eastAsiaTheme="minorEastAsia" w:cstheme="minorBidi"/>
          <w:color w:val="auto"/>
          <w:sz w:val="20"/>
          <w:szCs w:val="20"/>
          <w14:ligatures w14:val="none"/>
        </w:rPr>
        <w:t xml:space="preserve"> </w:t>
      </w:r>
    </w:p>
  </w:footnote>
  <w:footnote w:id="31">
    <w:p w14:paraId="53361992" w14:textId="77777777" w:rsidR="00D5124A" w:rsidRPr="007E14FF" w:rsidRDefault="00D5124A" w:rsidP="00D5124A">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 xml:space="preserve">, </w:t>
      </w:r>
      <w:hyperlink r:id="rId28" w:history="1">
        <w:r w:rsidRPr="007E14FF">
          <w:rPr>
            <w:rStyle w:val="Hyperlink"/>
          </w:rPr>
          <w:t>link</w:t>
        </w:r>
      </w:hyperlink>
    </w:p>
  </w:footnote>
  <w:footnote w:id="32">
    <w:p w14:paraId="58501DC0" w14:textId="77777777" w:rsidR="00377B0E" w:rsidRPr="007E14FF" w:rsidRDefault="00377B0E" w:rsidP="00377B0E">
      <w:pPr>
        <w:spacing w:after="0" w:line="240" w:lineRule="auto"/>
        <w:rPr>
          <w:sz w:val="20"/>
          <w:szCs w:val="20"/>
        </w:rPr>
      </w:pPr>
      <w:r w:rsidRPr="007E14FF">
        <w:rPr>
          <w:rStyle w:val="FootnoteReference"/>
          <w:sz w:val="20"/>
          <w:szCs w:val="20"/>
        </w:rPr>
        <w:footnoteRef/>
      </w:r>
      <w:r w:rsidRPr="007E14FF">
        <w:rPr>
          <w:sz w:val="20"/>
          <w:szCs w:val="20"/>
        </w:rPr>
        <w:t xml:space="preserve"> </w:t>
      </w:r>
      <w:proofErr w:type="spellStart"/>
      <w:r w:rsidRPr="007E14FF">
        <w:rPr>
          <w:i/>
          <w:iCs/>
          <w:sz w:val="20"/>
          <w:szCs w:val="20"/>
        </w:rPr>
        <w:t>op.cit</w:t>
      </w:r>
      <w:proofErr w:type="spellEnd"/>
      <w:r w:rsidRPr="007E14FF">
        <w:rPr>
          <w:rFonts w:eastAsiaTheme="minorEastAsia" w:cstheme="minorBidi"/>
          <w:color w:val="auto"/>
          <w:sz w:val="20"/>
          <w:szCs w:val="20"/>
          <w14:ligatures w14:val="none"/>
        </w:rPr>
        <w:t xml:space="preserve">, </w:t>
      </w:r>
      <w:hyperlink r:id="rId29" w:history="1">
        <w:r w:rsidRPr="007E14FF">
          <w:rPr>
            <w:rStyle w:val="Hyperlink"/>
            <w:rFonts w:eastAsiaTheme="minorEastAsia" w:cstheme="minorBidi"/>
            <w:sz w:val="20"/>
            <w:szCs w:val="20"/>
            <w14:ligatures w14:val="none"/>
          </w:rPr>
          <w:t>link</w:t>
        </w:r>
      </w:hyperlink>
    </w:p>
  </w:footnote>
  <w:footnote w:id="33">
    <w:p w14:paraId="7EC5D17D" w14:textId="77777777" w:rsidR="00607A59" w:rsidRPr="00D033E5" w:rsidRDefault="00607A59" w:rsidP="00607A59">
      <w:pPr>
        <w:pStyle w:val="FootnoteText"/>
        <w:spacing w:after="0" w:line="240" w:lineRule="auto"/>
      </w:pPr>
      <w:r w:rsidRPr="00D033E5">
        <w:rPr>
          <w:rStyle w:val="FootnoteReference"/>
        </w:rPr>
        <w:footnoteRef/>
      </w:r>
      <w:r w:rsidRPr="00D033E5">
        <w:t xml:space="preserve"> </w:t>
      </w:r>
      <w:proofErr w:type="spellStart"/>
      <w:r w:rsidRPr="00D033E5">
        <w:t>Ministry</w:t>
      </w:r>
      <w:proofErr w:type="spellEnd"/>
      <w:r w:rsidRPr="00D033E5">
        <w:t xml:space="preserve"> of Transport, General Transport Master Plan of Romania, August 2016, </w:t>
      </w:r>
      <w:hyperlink r:id="rId30" w:history="1">
        <w:r w:rsidRPr="00D033E5">
          <w:rPr>
            <w:rStyle w:val="Hyperlink"/>
          </w:rPr>
          <w:t>link</w:t>
        </w:r>
      </w:hyperlink>
    </w:p>
  </w:footnote>
  <w:footnote w:id="34">
    <w:p w14:paraId="4357D0BD" w14:textId="77777777" w:rsidR="00773E81" w:rsidRPr="00D033E5" w:rsidRDefault="00773E81" w:rsidP="00773E81">
      <w:pPr>
        <w:pStyle w:val="FootnoteText"/>
        <w:spacing w:after="0" w:line="240" w:lineRule="auto"/>
      </w:pPr>
      <w:r w:rsidRPr="00D033E5">
        <w:rPr>
          <w:rStyle w:val="FootnoteReference"/>
        </w:rPr>
        <w:footnoteRef/>
      </w:r>
      <w:r w:rsidRPr="00D033E5">
        <w:t xml:space="preserve"> </w:t>
      </w:r>
      <w:proofErr w:type="spellStart"/>
      <w:r w:rsidRPr="00D033E5">
        <w:t>Ministry</w:t>
      </w:r>
      <w:proofErr w:type="spellEnd"/>
      <w:r w:rsidRPr="00D033E5">
        <w:t xml:space="preserve"> of Transport, Investment program for </w:t>
      </w:r>
      <w:proofErr w:type="spellStart"/>
      <w:r w:rsidRPr="00D033E5">
        <w:t>the</w:t>
      </w:r>
      <w:proofErr w:type="spellEnd"/>
      <w:r w:rsidRPr="00D033E5">
        <w:t xml:space="preserve"> </w:t>
      </w:r>
      <w:proofErr w:type="spellStart"/>
      <w:r w:rsidRPr="00D033E5">
        <w:t>development</w:t>
      </w:r>
      <w:proofErr w:type="spellEnd"/>
      <w:r w:rsidRPr="00D033E5">
        <w:t xml:space="preserve"> of transport </w:t>
      </w:r>
      <w:proofErr w:type="spellStart"/>
      <w:r w:rsidRPr="00D033E5">
        <w:t>infrastructure</w:t>
      </w:r>
      <w:proofErr w:type="spellEnd"/>
      <w:r w:rsidRPr="00D033E5">
        <w:t xml:space="preserve"> for </w:t>
      </w:r>
      <w:proofErr w:type="spellStart"/>
      <w:r w:rsidRPr="00D033E5">
        <w:t>the</w:t>
      </w:r>
      <w:proofErr w:type="spellEnd"/>
      <w:r w:rsidRPr="00D033E5">
        <w:t xml:space="preserve"> period 2021-2030, 2021</w:t>
      </w:r>
      <w:r w:rsidRPr="00D033E5">
        <w:rPr>
          <w:rFonts w:eastAsia="Times New Roman"/>
          <w:kern w:val="0"/>
          <w:lang w:eastAsia="ja-JP"/>
        </w:rPr>
        <w:t xml:space="preserve">, </w:t>
      </w:r>
      <w:hyperlink r:id="rId31" w:history="1">
        <w:r w:rsidRPr="00D033E5">
          <w:rPr>
            <w:rStyle w:val="Hyperlink"/>
            <w:rFonts w:eastAsia="Times New Roman"/>
            <w:kern w:val="0"/>
            <w:lang w:eastAsia="ja-JP"/>
          </w:rPr>
          <w:t>link</w:t>
        </w:r>
      </w:hyperlink>
      <w:r w:rsidRPr="00D033E5">
        <w:rPr>
          <w:rFonts w:eastAsia="Times New Roman"/>
          <w:kern w:val="0"/>
          <w:lang w:eastAsia="ja-JP"/>
        </w:rPr>
        <w:t xml:space="preserve">   </w:t>
      </w:r>
    </w:p>
  </w:footnote>
  <w:footnote w:id="35">
    <w:p w14:paraId="30A19126" w14:textId="77777777" w:rsidR="009A18D6" w:rsidRPr="007E14FF" w:rsidRDefault="009A18D6" w:rsidP="009A18D6">
      <w:pPr>
        <w:pStyle w:val="FootnoteText"/>
        <w:spacing w:after="0" w:line="240" w:lineRule="auto"/>
      </w:pPr>
      <w:r w:rsidRPr="00D033E5">
        <w:rPr>
          <w:rStyle w:val="FootnoteReference"/>
        </w:rPr>
        <w:footnoteRef/>
      </w:r>
      <w:r w:rsidRPr="00D033E5">
        <w:t xml:space="preserve"> Comunicarea Comisiei către Parlamentul European, Consiliu, Comitetul Economic și Social European și Comitetul Regiunilor „Europa în mișcare – Mobilitate durabilă pentru Europa: sigură, conectată și curată”, </w:t>
      </w:r>
      <w:hyperlink r:id="rId32" w:history="1">
        <w:r w:rsidRPr="00D033E5">
          <w:rPr>
            <w:rStyle w:val="Hyperlink"/>
          </w:rPr>
          <w:t>link</w:t>
        </w:r>
      </w:hyperlink>
    </w:p>
  </w:footnote>
  <w:footnote w:id="36">
    <w:p w14:paraId="054C8E9A" w14:textId="77777777" w:rsidR="008B24A1" w:rsidRPr="007E14FF" w:rsidRDefault="008B24A1" w:rsidP="008B24A1">
      <w:pPr>
        <w:pStyle w:val="FootnoteText"/>
        <w:spacing w:after="0" w:line="240" w:lineRule="auto"/>
      </w:pPr>
      <w:r w:rsidRPr="007E14FF">
        <w:rPr>
          <w:rStyle w:val="FootnoteReference"/>
        </w:rPr>
        <w:footnoteRef/>
      </w:r>
      <w:r w:rsidRPr="007E14FF">
        <w:t xml:space="preserve"> </w:t>
      </w:r>
      <w:proofErr w:type="spellStart"/>
      <w:r w:rsidRPr="009B4A1A">
        <w:t>Ministry</w:t>
      </w:r>
      <w:proofErr w:type="spellEnd"/>
      <w:r w:rsidRPr="009B4A1A">
        <w:t xml:space="preserve"> of Transport, National </w:t>
      </w:r>
      <w:proofErr w:type="spellStart"/>
      <w:r w:rsidRPr="009B4A1A">
        <w:t>Road</w:t>
      </w:r>
      <w:proofErr w:type="spellEnd"/>
      <w:r w:rsidRPr="009B4A1A">
        <w:t xml:space="preserve"> </w:t>
      </w:r>
      <w:proofErr w:type="spellStart"/>
      <w:r w:rsidRPr="009B4A1A">
        <w:t>Safety</w:t>
      </w:r>
      <w:proofErr w:type="spellEnd"/>
      <w:r w:rsidRPr="009B4A1A">
        <w:t xml:space="preserve"> </w:t>
      </w:r>
      <w:proofErr w:type="spellStart"/>
      <w:r w:rsidRPr="009B4A1A">
        <w:t>Strategy</w:t>
      </w:r>
      <w:proofErr w:type="spellEnd"/>
      <w:r w:rsidRPr="009B4A1A">
        <w:t xml:space="preserve"> for </w:t>
      </w:r>
      <w:proofErr w:type="spellStart"/>
      <w:r w:rsidRPr="009B4A1A">
        <w:t>the</w:t>
      </w:r>
      <w:proofErr w:type="spellEnd"/>
      <w:r w:rsidRPr="009B4A1A">
        <w:t xml:space="preserve"> period 2022-2030, 2022</w:t>
      </w:r>
      <w:r w:rsidRPr="007E14FF">
        <w:t xml:space="preserve">, </w:t>
      </w:r>
      <w:hyperlink r:id="rId33" w:history="1">
        <w:r w:rsidRPr="007E14FF">
          <w:rPr>
            <w:rStyle w:val="Hyperlink"/>
          </w:rPr>
          <w:t>link</w:t>
        </w:r>
      </w:hyperlink>
    </w:p>
  </w:footnote>
  <w:footnote w:id="37">
    <w:p w14:paraId="6507601E" w14:textId="77777777" w:rsidR="008B24A1" w:rsidRPr="007E14FF" w:rsidRDefault="008B24A1" w:rsidP="008B24A1">
      <w:pPr>
        <w:pStyle w:val="FootnoteText"/>
        <w:spacing w:after="0" w:line="240" w:lineRule="auto"/>
      </w:pPr>
      <w:r w:rsidRPr="007E14FF">
        <w:rPr>
          <w:rStyle w:val="FootnoteReference"/>
        </w:rPr>
        <w:footnoteRef/>
      </w:r>
      <w:r w:rsidRPr="007E14FF">
        <w:t xml:space="preserve"> </w:t>
      </w:r>
      <w:proofErr w:type="spellStart"/>
      <w:r w:rsidRPr="009B4A1A">
        <w:t>According</w:t>
      </w:r>
      <w:proofErr w:type="spellEnd"/>
      <w:r w:rsidRPr="009B4A1A">
        <w:t xml:space="preserve"> </w:t>
      </w:r>
      <w:proofErr w:type="spellStart"/>
      <w:r w:rsidRPr="009B4A1A">
        <w:t>to</w:t>
      </w:r>
      <w:proofErr w:type="spellEnd"/>
      <w:r w:rsidRPr="009B4A1A">
        <w:t xml:space="preserve"> </w:t>
      </w:r>
      <w:proofErr w:type="spellStart"/>
      <w:r w:rsidRPr="009B4A1A">
        <w:t>the</w:t>
      </w:r>
      <w:proofErr w:type="spellEnd"/>
      <w:r w:rsidRPr="009B4A1A">
        <w:t xml:space="preserve"> "safe </w:t>
      </w:r>
      <w:proofErr w:type="spellStart"/>
      <w:r w:rsidRPr="009B4A1A">
        <w:t>system</w:t>
      </w:r>
      <w:proofErr w:type="spellEnd"/>
      <w:r w:rsidRPr="009B4A1A">
        <w:t xml:space="preserve">" </w:t>
      </w:r>
      <w:proofErr w:type="spellStart"/>
      <w:r w:rsidRPr="009B4A1A">
        <w:t>approach</w:t>
      </w:r>
      <w:proofErr w:type="spellEnd"/>
      <w:r w:rsidRPr="009B4A1A">
        <w:t xml:space="preserve">, </w:t>
      </w:r>
      <w:proofErr w:type="spellStart"/>
      <w:r w:rsidRPr="009B4A1A">
        <w:t>deaths</w:t>
      </w:r>
      <w:proofErr w:type="spellEnd"/>
      <w:r w:rsidRPr="009B4A1A">
        <w:t xml:space="preserve"> </w:t>
      </w:r>
      <w:proofErr w:type="spellStart"/>
      <w:r w:rsidRPr="009B4A1A">
        <w:t>and</w:t>
      </w:r>
      <w:proofErr w:type="spellEnd"/>
      <w:r w:rsidRPr="009B4A1A">
        <w:t xml:space="preserve"> </w:t>
      </w:r>
      <w:proofErr w:type="spellStart"/>
      <w:r w:rsidRPr="009B4A1A">
        <w:t>serious</w:t>
      </w:r>
      <w:proofErr w:type="spellEnd"/>
      <w:r w:rsidRPr="009B4A1A">
        <w:t xml:space="preserve"> </w:t>
      </w:r>
      <w:proofErr w:type="spellStart"/>
      <w:r w:rsidRPr="009B4A1A">
        <w:t>injuries</w:t>
      </w:r>
      <w:proofErr w:type="spellEnd"/>
      <w:r w:rsidRPr="009B4A1A">
        <w:t xml:space="preserve"> </w:t>
      </w:r>
      <w:proofErr w:type="spellStart"/>
      <w:r w:rsidRPr="009B4A1A">
        <w:t>from</w:t>
      </w:r>
      <w:proofErr w:type="spellEnd"/>
      <w:r w:rsidRPr="009B4A1A">
        <w:t xml:space="preserve"> </w:t>
      </w:r>
      <w:proofErr w:type="spellStart"/>
      <w:r w:rsidRPr="009B4A1A">
        <w:t>road</w:t>
      </w:r>
      <w:proofErr w:type="spellEnd"/>
      <w:r w:rsidRPr="009B4A1A">
        <w:t xml:space="preserve"> </w:t>
      </w:r>
      <w:proofErr w:type="spellStart"/>
      <w:r w:rsidRPr="009B4A1A">
        <w:t>accidents</w:t>
      </w:r>
      <w:proofErr w:type="spellEnd"/>
      <w:r w:rsidRPr="009B4A1A">
        <w:t xml:space="preserve"> are </w:t>
      </w:r>
      <w:proofErr w:type="spellStart"/>
      <w:r w:rsidRPr="009B4A1A">
        <w:t>not</w:t>
      </w:r>
      <w:proofErr w:type="spellEnd"/>
      <w:r w:rsidRPr="009B4A1A">
        <w:t xml:space="preserve"> an </w:t>
      </w:r>
      <w:proofErr w:type="spellStart"/>
      <w:r w:rsidRPr="009B4A1A">
        <w:t>inevitable</w:t>
      </w:r>
      <w:proofErr w:type="spellEnd"/>
      <w:r w:rsidRPr="009B4A1A">
        <w:t xml:space="preserve"> price of </w:t>
      </w:r>
      <w:proofErr w:type="spellStart"/>
      <w:r w:rsidRPr="009B4A1A">
        <w:t>mobility</w:t>
      </w:r>
      <w:proofErr w:type="spellEnd"/>
      <w:r w:rsidRPr="009B4A1A">
        <w:t xml:space="preserve">. </w:t>
      </w:r>
      <w:proofErr w:type="spellStart"/>
      <w:r w:rsidRPr="009B4A1A">
        <w:t>Accidents</w:t>
      </w:r>
      <w:proofErr w:type="spellEnd"/>
      <w:r w:rsidRPr="009B4A1A">
        <w:t xml:space="preserve"> </w:t>
      </w:r>
      <w:proofErr w:type="spellStart"/>
      <w:r w:rsidRPr="009B4A1A">
        <w:t>will</w:t>
      </w:r>
      <w:proofErr w:type="spellEnd"/>
      <w:r w:rsidRPr="009B4A1A">
        <w:t xml:space="preserve"> </w:t>
      </w:r>
      <w:proofErr w:type="spellStart"/>
      <w:r w:rsidRPr="009B4A1A">
        <w:t>always</w:t>
      </w:r>
      <w:proofErr w:type="spellEnd"/>
      <w:r w:rsidRPr="009B4A1A">
        <w:t xml:space="preserve"> </w:t>
      </w:r>
      <w:proofErr w:type="spellStart"/>
      <w:r w:rsidRPr="009B4A1A">
        <w:t>happen</w:t>
      </w:r>
      <w:proofErr w:type="spellEnd"/>
      <w:r w:rsidRPr="009B4A1A">
        <w:t xml:space="preserve">, but </w:t>
      </w:r>
      <w:proofErr w:type="spellStart"/>
      <w:r w:rsidRPr="009B4A1A">
        <w:t>deaths</w:t>
      </w:r>
      <w:proofErr w:type="spellEnd"/>
      <w:r w:rsidRPr="009B4A1A">
        <w:t xml:space="preserve"> </w:t>
      </w:r>
      <w:proofErr w:type="spellStart"/>
      <w:r w:rsidRPr="009B4A1A">
        <w:t>and</w:t>
      </w:r>
      <w:proofErr w:type="spellEnd"/>
      <w:r w:rsidRPr="009B4A1A">
        <w:t xml:space="preserve"> </w:t>
      </w:r>
      <w:proofErr w:type="spellStart"/>
      <w:r w:rsidRPr="009B4A1A">
        <w:t>serious</w:t>
      </w:r>
      <w:proofErr w:type="spellEnd"/>
      <w:r w:rsidRPr="009B4A1A">
        <w:t xml:space="preserve"> </w:t>
      </w:r>
      <w:proofErr w:type="spellStart"/>
      <w:r w:rsidRPr="009B4A1A">
        <w:t>injuries</w:t>
      </w:r>
      <w:proofErr w:type="spellEnd"/>
      <w:r w:rsidRPr="009B4A1A">
        <w:t xml:space="preserve"> are </w:t>
      </w:r>
      <w:proofErr w:type="spellStart"/>
      <w:r w:rsidRPr="009B4A1A">
        <w:t>largely</w:t>
      </w:r>
      <w:proofErr w:type="spellEnd"/>
      <w:r w:rsidRPr="009B4A1A">
        <w:t xml:space="preserve"> </w:t>
      </w:r>
      <w:proofErr w:type="spellStart"/>
      <w:r w:rsidRPr="009B4A1A">
        <w:t>preventable</w:t>
      </w:r>
      <w:proofErr w:type="spellEnd"/>
      <w:r w:rsidRPr="009B4A1A">
        <w:t>.</w:t>
      </w:r>
    </w:p>
  </w:footnote>
  <w:footnote w:id="38">
    <w:p w14:paraId="0D2AC1CA" w14:textId="77777777" w:rsidR="00A766BC" w:rsidRPr="007E14FF" w:rsidRDefault="00A766BC" w:rsidP="00A766BC">
      <w:pPr>
        <w:pStyle w:val="FootnoteText"/>
        <w:spacing w:after="0" w:line="240" w:lineRule="auto"/>
      </w:pPr>
      <w:r w:rsidRPr="007E14FF">
        <w:rPr>
          <w:rStyle w:val="FootnoteReference"/>
        </w:rPr>
        <w:footnoteRef/>
      </w:r>
      <w:r w:rsidRPr="007E14FF">
        <w:t xml:space="preserve"> </w:t>
      </w:r>
      <w:proofErr w:type="spellStart"/>
      <w:r w:rsidRPr="007E14FF">
        <w:rPr>
          <w:i/>
          <w:iCs/>
          <w:szCs w:val="22"/>
        </w:rPr>
        <w:t>op.cit</w:t>
      </w:r>
      <w:proofErr w:type="spellEnd"/>
      <w:r w:rsidRPr="007E14FF">
        <w:t xml:space="preserve">, </w:t>
      </w:r>
      <w:hyperlink r:id="rId34" w:history="1">
        <w:r w:rsidRPr="007E14FF">
          <w:rPr>
            <w:rStyle w:val="Hyperlink"/>
          </w:rPr>
          <w:t>link</w:t>
        </w:r>
      </w:hyperlink>
    </w:p>
  </w:footnote>
  <w:footnote w:id="39">
    <w:p w14:paraId="3D06FFB1" w14:textId="77777777" w:rsidR="00DA3613" w:rsidRPr="007E14FF" w:rsidRDefault="00DA3613" w:rsidP="00DA3613">
      <w:pPr>
        <w:pStyle w:val="FootnoteText"/>
        <w:spacing w:after="0" w:line="240" w:lineRule="auto"/>
      </w:pPr>
      <w:r w:rsidRPr="007E14FF">
        <w:rPr>
          <w:rStyle w:val="FootnoteReference"/>
        </w:rPr>
        <w:footnoteRef/>
      </w:r>
      <w:r w:rsidRPr="007E14FF">
        <w:t xml:space="preserve"> </w:t>
      </w:r>
      <w:r w:rsidRPr="001C5629">
        <w:t xml:space="preserve">Council of </w:t>
      </w:r>
      <w:proofErr w:type="spellStart"/>
      <w:r w:rsidRPr="001C5629">
        <w:t>the</w:t>
      </w:r>
      <w:proofErr w:type="spellEnd"/>
      <w:r w:rsidRPr="001C5629">
        <w:t xml:space="preserve"> European Union, Council </w:t>
      </w:r>
      <w:proofErr w:type="spellStart"/>
      <w:r w:rsidRPr="001C5629">
        <w:t>Resolution</w:t>
      </w:r>
      <w:proofErr w:type="spellEnd"/>
      <w:r w:rsidRPr="001C5629">
        <w:t xml:space="preserve"> on a strategic </w:t>
      </w:r>
      <w:proofErr w:type="spellStart"/>
      <w:r w:rsidRPr="001C5629">
        <w:t>framework</w:t>
      </w:r>
      <w:proofErr w:type="spellEnd"/>
      <w:r w:rsidRPr="001C5629">
        <w:t xml:space="preserve"> for European </w:t>
      </w:r>
      <w:proofErr w:type="spellStart"/>
      <w:r w:rsidRPr="001C5629">
        <w:t>cooperation</w:t>
      </w:r>
      <w:proofErr w:type="spellEnd"/>
      <w:r w:rsidRPr="001C5629">
        <w:t xml:space="preserve"> in </w:t>
      </w:r>
      <w:proofErr w:type="spellStart"/>
      <w:r w:rsidRPr="001C5629">
        <w:t>the</w:t>
      </w:r>
      <w:proofErr w:type="spellEnd"/>
      <w:r w:rsidRPr="001C5629">
        <w:t xml:space="preserve"> </w:t>
      </w:r>
      <w:proofErr w:type="spellStart"/>
      <w:r w:rsidRPr="001C5629">
        <w:t>field</w:t>
      </w:r>
      <w:proofErr w:type="spellEnd"/>
      <w:r w:rsidRPr="001C5629">
        <w:t xml:space="preserve"> of </w:t>
      </w:r>
      <w:proofErr w:type="spellStart"/>
      <w:r w:rsidRPr="001C5629">
        <w:t>education</w:t>
      </w:r>
      <w:proofErr w:type="spellEnd"/>
      <w:r w:rsidRPr="001C5629">
        <w:t xml:space="preserve"> </w:t>
      </w:r>
      <w:proofErr w:type="spellStart"/>
      <w:r w:rsidRPr="001C5629">
        <w:t>and</w:t>
      </w:r>
      <w:proofErr w:type="spellEnd"/>
      <w:r w:rsidRPr="001C5629">
        <w:t xml:space="preserve"> training </w:t>
      </w:r>
      <w:proofErr w:type="spellStart"/>
      <w:r w:rsidRPr="001C5629">
        <w:t>with</w:t>
      </w:r>
      <w:proofErr w:type="spellEnd"/>
      <w:r w:rsidRPr="001C5629">
        <w:t xml:space="preserve"> a </w:t>
      </w:r>
      <w:proofErr w:type="spellStart"/>
      <w:r w:rsidRPr="001C5629">
        <w:t>view</w:t>
      </w:r>
      <w:proofErr w:type="spellEnd"/>
      <w:r w:rsidRPr="001C5629">
        <w:t xml:space="preserve"> </w:t>
      </w:r>
      <w:proofErr w:type="spellStart"/>
      <w:r w:rsidRPr="001C5629">
        <w:t>to</w:t>
      </w:r>
      <w:proofErr w:type="spellEnd"/>
      <w:r w:rsidRPr="001C5629">
        <w:t xml:space="preserve"> </w:t>
      </w:r>
      <w:proofErr w:type="spellStart"/>
      <w:r w:rsidRPr="001C5629">
        <w:t>the</w:t>
      </w:r>
      <w:proofErr w:type="spellEnd"/>
      <w:r w:rsidRPr="001C5629">
        <w:t xml:space="preserve"> </w:t>
      </w:r>
      <w:proofErr w:type="spellStart"/>
      <w:r w:rsidRPr="001C5629">
        <w:t>realization</w:t>
      </w:r>
      <w:proofErr w:type="spellEnd"/>
      <w:r w:rsidRPr="001C5629">
        <w:t xml:space="preserve"> </w:t>
      </w:r>
      <w:proofErr w:type="spellStart"/>
      <w:r w:rsidRPr="001C5629">
        <w:t>and</w:t>
      </w:r>
      <w:proofErr w:type="spellEnd"/>
      <w:r w:rsidRPr="001C5629">
        <w:t xml:space="preserve"> </w:t>
      </w:r>
      <w:proofErr w:type="spellStart"/>
      <w:r w:rsidRPr="001C5629">
        <w:t>further</w:t>
      </w:r>
      <w:proofErr w:type="spellEnd"/>
      <w:r w:rsidRPr="001C5629">
        <w:t xml:space="preserve"> </w:t>
      </w:r>
      <w:proofErr w:type="spellStart"/>
      <w:r w:rsidRPr="001C5629">
        <w:t>development</w:t>
      </w:r>
      <w:proofErr w:type="spellEnd"/>
      <w:r w:rsidRPr="001C5629">
        <w:t xml:space="preserve"> of </w:t>
      </w:r>
      <w:proofErr w:type="spellStart"/>
      <w:r w:rsidRPr="001C5629">
        <w:t>the</w:t>
      </w:r>
      <w:proofErr w:type="spellEnd"/>
      <w:r w:rsidRPr="001C5629">
        <w:t xml:space="preserve"> European </w:t>
      </w:r>
      <w:proofErr w:type="spellStart"/>
      <w:r w:rsidRPr="001C5629">
        <w:t>education</w:t>
      </w:r>
      <w:proofErr w:type="spellEnd"/>
      <w:r w:rsidRPr="001C5629">
        <w:t xml:space="preserve"> </w:t>
      </w:r>
      <w:proofErr w:type="spellStart"/>
      <w:r w:rsidRPr="001C5629">
        <w:t>area</w:t>
      </w:r>
      <w:proofErr w:type="spellEnd"/>
      <w:r w:rsidRPr="001C5629">
        <w:t xml:space="preserve"> (2021-2030), 2021</w:t>
      </w:r>
      <w:r w:rsidRPr="007E14FF">
        <w:t xml:space="preserve">, </w:t>
      </w:r>
      <w:hyperlink r:id="rId35" w:history="1">
        <w:r w:rsidRPr="007E14FF">
          <w:rPr>
            <w:rStyle w:val="Hyperlink"/>
          </w:rPr>
          <w:t>link</w:t>
        </w:r>
      </w:hyperlink>
    </w:p>
  </w:footnote>
  <w:footnote w:id="40">
    <w:p w14:paraId="2C0DDAB2" w14:textId="77777777" w:rsidR="00284525" w:rsidRPr="007E14FF" w:rsidRDefault="00284525" w:rsidP="00284525">
      <w:pPr>
        <w:pStyle w:val="FootnoteText"/>
        <w:spacing w:after="0" w:line="240" w:lineRule="auto"/>
      </w:pPr>
      <w:r w:rsidRPr="007E14FF">
        <w:rPr>
          <w:rStyle w:val="FootnoteReference"/>
        </w:rPr>
        <w:footnoteRef/>
      </w:r>
      <w:r w:rsidRPr="007E14FF">
        <w:t xml:space="preserve"> </w:t>
      </w:r>
      <w:r w:rsidRPr="00782910">
        <w:rPr>
          <w:rFonts w:eastAsia="Times New Roman" w:cs="Calibri"/>
          <w:color w:val="000000"/>
          <w14:ligatures w14:val="standardContextual"/>
        </w:rPr>
        <w:t xml:space="preserve">European </w:t>
      </w:r>
      <w:proofErr w:type="spellStart"/>
      <w:r w:rsidRPr="00782910">
        <w:rPr>
          <w:rFonts w:eastAsia="Times New Roman" w:cs="Calibri"/>
          <w:color w:val="000000"/>
          <w14:ligatures w14:val="standardContextual"/>
        </w:rPr>
        <w:t>Commission</w:t>
      </w:r>
      <w:proofErr w:type="spellEnd"/>
      <w:r w:rsidRPr="00782910">
        <w:rPr>
          <w:rFonts w:eastAsia="Times New Roman" w:cs="Calibri"/>
          <w:color w:val="000000"/>
          <w14:ligatures w14:val="standardContextual"/>
        </w:rPr>
        <w:t xml:space="preserve"> -  General Directorate for </w:t>
      </w:r>
      <w:proofErr w:type="spellStart"/>
      <w:r w:rsidRPr="00782910">
        <w:rPr>
          <w:rFonts w:eastAsia="Times New Roman" w:cs="Calibri"/>
          <w:color w:val="000000"/>
          <w14:ligatures w14:val="standardContextual"/>
        </w:rPr>
        <w:t>Education</w:t>
      </w:r>
      <w:proofErr w:type="spellEnd"/>
      <w:r w:rsidRPr="00782910">
        <w:rPr>
          <w:rFonts w:eastAsia="Times New Roman" w:cs="Calibri"/>
          <w:color w:val="000000"/>
          <w14:ligatures w14:val="standardContextual"/>
        </w:rPr>
        <w:t xml:space="preserve">, Youth, Sport </w:t>
      </w:r>
      <w:proofErr w:type="spellStart"/>
      <w:r w:rsidRPr="00782910">
        <w:rPr>
          <w:rFonts w:eastAsia="Times New Roman" w:cs="Calibri"/>
          <w:color w:val="000000"/>
          <w14:ligatures w14:val="standardContextual"/>
        </w:rPr>
        <w:t>and</w:t>
      </w:r>
      <w:proofErr w:type="spellEnd"/>
      <w:r w:rsidRPr="00782910">
        <w:rPr>
          <w:rFonts w:eastAsia="Times New Roman" w:cs="Calibri"/>
          <w:color w:val="000000"/>
          <w14:ligatures w14:val="standardContextual"/>
        </w:rPr>
        <w:t xml:space="preserve"> Culture,</w:t>
      </w:r>
      <w:r>
        <w:rPr>
          <w:rFonts w:eastAsia="Times New Roman" w:cs="Calibri"/>
          <w:color w:val="000000"/>
          <w14:ligatures w14:val="standardContextual"/>
        </w:rPr>
        <w:t xml:space="preserve">2023 </w:t>
      </w:r>
      <w:r w:rsidRPr="00782910">
        <w:rPr>
          <w:rFonts w:eastAsia="Times New Roman" w:cs="Calibri"/>
          <w:color w:val="000000"/>
          <w14:ligatures w14:val="standardContextual"/>
        </w:rPr>
        <w:t xml:space="preserve"> </w:t>
      </w:r>
      <w:proofErr w:type="spellStart"/>
      <w:r w:rsidRPr="00782910">
        <w:rPr>
          <w:rFonts w:eastAsia="Times New Roman" w:cs="Calibri"/>
          <w:color w:val="000000"/>
          <w14:ligatures w14:val="standardContextual"/>
        </w:rPr>
        <w:t>Education</w:t>
      </w:r>
      <w:proofErr w:type="spellEnd"/>
      <w:r w:rsidRPr="00782910">
        <w:rPr>
          <w:rFonts w:eastAsia="Times New Roman" w:cs="Calibri"/>
          <w:color w:val="000000"/>
          <w14:ligatures w14:val="standardContextual"/>
        </w:rPr>
        <w:t xml:space="preserve"> </w:t>
      </w:r>
      <w:proofErr w:type="spellStart"/>
      <w:r w:rsidRPr="00782910">
        <w:rPr>
          <w:rFonts w:eastAsia="Times New Roman" w:cs="Calibri"/>
          <w:color w:val="000000"/>
          <w14:ligatures w14:val="standardContextual"/>
        </w:rPr>
        <w:t>and</w:t>
      </w:r>
      <w:proofErr w:type="spellEnd"/>
      <w:r w:rsidRPr="00782910">
        <w:rPr>
          <w:rFonts w:eastAsia="Times New Roman" w:cs="Calibri"/>
          <w:color w:val="000000"/>
          <w14:ligatures w14:val="standardContextual"/>
        </w:rPr>
        <w:t xml:space="preserve"> Training Monitor, </w:t>
      </w:r>
      <w:r>
        <w:rPr>
          <w:rFonts w:eastAsia="Times New Roman" w:cs="Calibri"/>
          <w:color w:val="000000"/>
          <w14:ligatures w14:val="standardContextual"/>
        </w:rPr>
        <w:t>Romania</w:t>
      </w:r>
      <w:r w:rsidRPr="00782910">
        <w:rPr>
          <w:rFonts w:eastAsia="Times New Roman" w:cs="Calibri"/>
          <w:color w:val="000000"/>
          <w14:ligatures w14:val="standardContextual"/>
        </w:rPr>
        <w:t>, 2023</w:t>
      </w:r>
      <w:r w:rsidRPr="007E14FF">
        <w:rPr>
          <w:rFonts w:eastAsia="Times New Roman" w:cs="Calibri"/>
          <w:color w:val="000000"/>
          <w14:ligatures w14:val="standardContextual"/>
        </w:rPr>
        <w:t xml:space="preserve">, </w:t>
      </w:r>
      <w:hyperlink r:id="rId36" w:history="1">
        <w:r w:rsidRPr="007E14FF">
          <w:rPr>
            <w:rStyle w:val="Hyperlink"/>
            <w:rFonts w:eastAsia="Times New Roman" w:cs="Calibri"/>
            <w14:ligatures w14:val="standardContextual"/>
          </w:rPr>
          <w:t>link</w:t>
        </w:r>
      </w:hyperlink>
    </w:p>
  </w:footnote>
  <w:footnote w:id="41">
    <w:p w14:paraId="0B0AF1F1" w14:textId="77777777" w:rsidR="00BE33DB" w:rsidRPr="007E14FF" w:rsidRDefault="00BE33DB" w:rsidP="00BE33DB">
      <w:pPr>
        <w:pStyle w:val="FootnoteText"/>
        <w:spacing w:after="0" w:line="240" w:lineRule="auto"/>
      </w:pPr>
      <w:r w:rsidRPr="007E14FF">
        <w:rPr>
          <w:rStyle w:val="FootnoteReference"/>
        </w:rPr>
        <w:footnoteRef/>
      </w:r>
      <w:r w:rsidRPr="007E14FF">
        <w:t xml:space="preserve"> </w:t>
      </w:r>
      <w:proofErr w:type="spellStart"/>
      <w:r w:rsidRPr="007E14FF">
        <w:rPr>
          <w:i/>
          <w:iCs/>
        </w:rPr>
        <w:t>op.cit</w:t>
      </w:r>
      <w:proofErr w:type="spellEnd"/>
      <w:r w:rsidRPr="007E14FF">
        <w:t xml:space="preserve">, </w:t>
      </w:r>
      <w:hyperlink r:id="rId37" w:history="1">
        <w:r w:rsidRPr="007E14FF">
          <w:rPr>
            <w:rStyle w:val="Hyperlink"/>
          </w:rPr>
          <w:t>link</w:t>
        </w:r>
      </w:hyperlink>
    </w:p>
  </w:footnote>
  <w:footnote w:id="42">
    <w:p w14:paraId="5FF77621" w14:textId="77777777" w:rsidR="00D614DB" w:rsidRPr="007E14FF" w:rsidRDefault="00D614DB" w:rsidP="00D614DB">
      <w:pPr>
        <w:pStyle w:val="FootnoteText"/>
        <w:spacing w:after="0" w:line="240" w:lineRule="auto"/>
      </w:pPr>
      <w:r w:rsidRPr="007E14FF">
        <w:rPr>
          <w:rStyle w:val="FootnoteReference"/>
        </w:rPr>
        <w:footnoteRef/>
      </w:r>
      <w:r w:rsidRPr="007E14FF">
        <w:t xml:space="preserve"> https://sdgs.un.org/2030agenda</w:t>
      </w:r>
    </w:p>
  </w:footnote>
  <w:footnote w:id="43">
    <w:p w14:paraId="337BCA33" w14:textId="77777777" w:rsidR="00D614DB" w:rsidRPr="007E14FF" w:rsidRDefault="00D614DB" w:rsidP="00D614DB">
      <w:pPr>
        <w:pStyle w:val="FootnoteText"/>
        <w:spacing w:after="0" w:line="240" w:lineRule="auto"/>
      </w:pPr>
      <w:r w:rsidRPr="007E14FF">
        <w:rPr>
          <w:rStyle w:val="FootnoteReference"/>
        </w:rPr>
        <w:footnoteRef/>
      </w:r>
      <w:r w:rsidRPr="007E14FF">
        <w:t xml:space="preserve"> </w:t>
      </w:r>
      <w:r w:rsidRPr="0050284A">
        <w:t xml:space="preserve">Council of </w:t>
      </w:r>
      <w:proofErr w:type="spellStart"/>
      <w:r w:rsidRPr="0050284A">
        <w:t>the</w:t>
      </w:r>
      <w:proofErr w:type="spellEnd"/>
      <w:r w:rsidRPr="0050284A">
        <w:t xml:space="preserve"> European Union, Council </w:t>
      </w:r>
      <w:proofErr w:type="spellStart"/>
      <w:r w:rsidRPr="0050284A">
        <w:t>Conclusions</w:t>
      </w:r>
      <w:proofErr w:type="spellEnd"/>
      <w:r w:rsidRPr="0050284A">
        <w:t xml:space="preserve"> on </w:t>
      </w:r>
      <w:proofErr w:type="spellStart"/>
      <w:r w:rsidRPr="0050284A">
        <w:t>the</w:t>
      </w:r>
      <w:proofErr w:type="spellEnd"/>
      <w:r w:rsidRPr="0050284A">
        <w:t xml:space="preserve"> </w:t>
      </w:r>
      <w:proofErr w:type="spellStart"/>
      <w:r w:rsidRPr="0050284A">
        <w:t>recovery</w:t>
      </w:r>
      <w:proofErr w:type="spellEnd"/>
      <w:r w:rsidRPr="0050284A">
        <w:t xml:space="preserve">, </w:t>
      </w:r>
      <w:proofErr w:type="spellStart"/>
      <w:r w:rsidRPr="0050284A">
        <w:t>resilience</w:t>
      </w:r>
      <w:proofErr w:type="spellEnd"/>
      <w:r w:rsidRPr="0050284A">
        <w:t xml:space="preserve"> </w:t>
      </w:r>
      <w:proofErr w:type="spellStart"/>
      <w:r w:rsidRPr="0050284A">
        <w:t>and</w:t>
      </w:r>
      <w:proofErr w:type="spellEnd"/>
      <w:r w:rsidRPr="0050284A">
        <w:t xml:space="preserve"> </w:t>
      </w:r>
      <w:proofErr w:type="spellStart"/>
      <w:r w:rsidRPr="0050284A">
        <w:t>sustainability</w:t>
      </w:r>
      <w:proofErr w:type="spellEnd"/>
      <w:r w:rsidRPr="0050284A">
        <w:t xml:space="preserve"> of </w:t>
      </w:r>
      <w:proofErr w:type="spellStart"/>
      <w:r w:rsidRPr="0050284A">
        <w:t>the</w:t>
      </w:r>
      <w:proofErr w:type="spellEnd"/>
      <w:r w:rsidRPr="0050284A">
        <w:t xml:space="preserve"> cultural </w:t>
      </w:r>
      <w:proofErr w:type="spellStart"/>
      <w:r w:rsidRPr="0050284A">
        <w:t>and</w:t>
      </w:r>
      <w:proofErr w:type="spellEnd"/>
      <w:r w:rsidRPr="0050284A">
        <w:t xml:space="preserve"> creative </w:t>
      </w:r>
      <w:proofErr w:type="spellStart"/>
      <w:r w:rsidRPr="0050284A">
        <w:t>sectors</w:t>
      </w:r>
      <w:proofErr w:type="spellEnd"/>
      <w:r>
        <w:t xml:space="preserve"> </w:t>
      </w:r>
      <w:r w:rsidRPr="007E14FF">
        <w:t xml:space="preserve">(2021/C 209/03), 2021, </w:t>
      </w:r>
      <w:hyperlink r:id="rId38" w:history="1">
        <w:r w:rsidRPr="007E14FF">
          <w:rPr>
            <w:rStyle w:val="Hyperlink"/>
          </w:rPr>
          <w:t>link</w:t>
        </w:r>
      </w:hyperlink>
    </w:p>
  </w:footnote>
  <w:footnote w:id="44">
    <w:p w14:paraId="2F08C3D2" w14:textId="77777777" w:rsidR="00D614DB" w:rsidRPr="007E14FF" w:rsidRDefault="00D614DB" w:rsidP="00D614DB">
      <w:pPr>
        <w:pStyle w:val="FootnoteText"/>
        <w:spacing w:after="0" w:line="240" w:lineRule="auto"/>
      </w:pPr>
      <w:r w:rsidRPr="007E14FF">
        <w:rPr>
          <w:rStyle w:val="FootnoteReference"/>
        </w:rPr>
        <w:footnoteRef/>
      </w:r>
      <w:r w:rsidRPr="007E14FF">
        <w:t xml:space="preserve"> </w:t>
      </w:r>
      <w:r w:rsidRPr="0089705A">
        <w:t xml:space="preserve">European </w:t>
      </w:r>
      <w:proofErr w:type="spellStart"/>
      <w:r w:rsidRPr="0089705A">
        <w:t>Court</w:t>
      </w:r>
      <w:proofErr w:type="spellEnd"/>
      <w:r w:rsidRPr="0089705A">
        <w:t xml:space="preserve"> of </w:t>
      </w:r>
      <w:proofErr w:type="spellStart"/>
      <w:r w:rsidRPr="0089705A">
        <w:t>Auditors</w:t>
      </w:r>
      <w:proofErr w:type="spellEnd"/>
      <w:r w:rsidRPr="0089705A">
        <w:t xml:space="preserve">, Rapid Case </w:t>
      </w:r>
      <w:proofErr w:type="spellStart"/>
      <w:r w:rsidRPr="0089705A">
        <w:t>Study</w:t>
      </w:r>
      <w:proofErr w:type="spellEnd"/>
      <w:r w:rsidRPr="0089705A">
        <w:t xml:space="preserve"> - </w:t>
      </w:r>
      <w:proofErr w:type="spellStart"/>
      <w:r w:rsidRPr="0089705A">
        <w:t>Sustainability</w:t>
      </w:r>
      <w:proofErr w:type="spellEnd"/>
      <w:r w:rsidRPr="0089705A">
        <w:t xml:space="preserve"> </w:t>
      </w:r>
      <w:proofErr w:type="spellStart"/>
      <w:r w:rsidRPr="0089705A">
        <w:t>reporting</w:t>
      </w:r>
      <w:proofErr w:type="spellEnd"/>
      <w:r w:rsidRPr="0089705A">
        <w:t xml:space="preserve">: a </w:t>
      </w:r>
      <w:proofErr w:type="spellStart"/>
      <w:r w:rsidRPr="0089705A">
        <w:t>stocktake</w:t>
      </w:r>
      <w:proofErr w:type="spellEnd"/>
      <w:r w:rsidRPr="0089705A">
        <w:t xml:space="preserve"> </w:t>
      </w:r>
      <w:proofErr w:type="spellStart"/>
      <w:r w:rsidRPr="0089705A">
        <w:t>across</w:t>
      </w:r>
      <w:proofErr w:type="spellEnd"/>
      <w:r w:rsidRPr="0089705A">
        <w:t xml:space="preserve"> EU </w:t>
      </w:r>
      <w:proofErr w:type="spellStart"/>
      <w:r w:rsidRPr="0089705A">
        <w:t>institutions</w:t>
      </w:r>
      <w:proofErr w:type="spellEnd"/>
      <w:r w:rsidRPr="0089705A">
        <w:t xml:space="preserve"> </w:t>
      </w:r>
      <w:proofErr w:type="spellStart"/>
      <w:r w:rsidRPr="0089705A">
        <w:t>and</w:t>
      </w:r>
      <w:proofErr w:type="spellEnd"/>
      <w:r w:rsidRPr="0089705A">
        <w:t xml:space="preserve"> </w:t>
      </w:r>
      <w:proofErr w:type="spellStart"/>
      <w:r w:rsidRPr="0089705A">
        <w:t>agencies</w:t>
      </w:r>
      <w:proofErr w:type="spellEnd"/>
      <w:r w:rsidRPr="0089705A">
        <w:t>, 2019</w:t>
      </w:r>
      <w:r w:rsidRPr="007E14FF">
        <w:t xml:space="preserve">, </w:t>
      </w:r>
      <w:hyperlink r:id="rId39" w:history="1">
        <w:r w:rsidRPr="007E14FF">
          <w:rPr>
            <w:rStyle w:val="Hyperlink"/>
          </w:rPr>
          <w:t>link</w:t>
        </w:r>
      </w:hyperlink>
    </w:p>
  </w:footnote>
  <w:footnote w:id="45">
    <w:p w14:paraId="7E4D1917" w14:textId="77777777" w:rsidR="00D614DB" w:rsidRPr="007E14FF" w:rsidRDefault="00D614DB" w:rsidP="00D614DB">
      <w:pPr>
        <w:pStyle w:val="FootnoteText"/>
        <w:spacing w:after="0" w:line="240" w:lineRule="auto"/>
      </w:pPr>
      <w:r w:rsidRPr="007E14FF">
        <w:rPr>
          <w:rStyle w:val="FootnoteReference"/>
        </w:rPr>
        <w:footnoteRef/>
      </w:r>
      <w:r w:rsidRPr="007E14FF">
        <w:t xml:space="preserve"> </w:t>
      </w:r>
      <w:proofErr w:type="spellStart"/>
      <w:r w:rsidRPr="009E6C8A">
        <w:t>Government</w:t>
      </w:r>
      <w:proofErr w:type="spellEnd"/>
      <w:r w:rsidRPr="009E6C8A">
        <w:t xml:space="preserve"> of Romania, National </w:t>
      </w:r>
      <w:proofErr w:type="spellStart"/>
      <w:r w:rsidRPr="009E6C8A">
        <w:t>Strategy</w:t>
      </w:r>
      <w:proofErr w:type="spellEnd"/>
      <w:r w:rsidRPr="009E6C8A">
        <w:t xml:space="preserve"> for </w:t>
      </w:r>
      <w:proofErr w:type="spellStart"/>
      <w:r w:rsidRPr="009E6C8A">
        <w:t>the</w:t>
      </w:r>
      <w:proofErr w:type="spellEnd"/>
      <w:r w:rsidRPr="009E6C8A">
        <w:t xml:space="preserve"> </w:t>
      </w:r>
      <w:proofErr w:type="spellStart"/>
      <w:r w:rsidRPr="009E6C8A">
        <w:t>Sustainable</w:t>
      </w:r>
      <w:proofErr w:type="spellEnd"/>
      <w:r w:rsidRPr="009E6C8A">
        <w:t xml:space="preserve"> </w:t>
      </w:r>
      <w:proofErr w:type="spellStart"/>
      <w:r w:rsidRPr="009E6C8A">
        <w:t>Development</w:t>
      </w:r>
      <w:proofErr w:type="spellEnd"/>
      <w:r w:rsidRPr="009E6C8A">
        <w:t xml:space="preserve"> of Romania 2030</w:t>
      </w:r>
      <w:r w:rsidRPr="007E14FF">
        <w:t xml:space="preserve">, 2018, </w:t>
      </w:r>
      <w:hyperlink r:id="rId40" w:history="1">
        <w:r w:rsidRPr="007E14FF">
          <w:rPr>
            <w:rStyle w:val="Hyperlink"/>
          </w:rPr>
          <w:t>link</w:t>
        </w:r>
      </w:hyperlink>
    </w:p>
  </w:footnote>
  <w:footnote w:id="46">
    <w:p w14:paraId="6EC88455" w14:textId="77777777" w:rsidR="00D614DB" w:rsidRPr="007E14FF" w:rsidRDefault="00D614DB" w:rsidP="00D614DB">
      <w:pPr>
        <w:pStyle w:val="FootnoteText"/>
        <w:spacing w:after="0" w:line="240" w:lineRule="auto"/>
      </w:pPr>
      <w:r w:rsidRPr="007E14FF">
        <w:rPr>
          <w:rStyle w:val="FootnoteReference"/>
        </w:rPr>
        <w:footnoteRef/>
      </w:r>
      <w:r w:rsidRPr="007E14FF">
        <w:t xml:space="preserve"> </w:t>
      </w:r>
      <w:proofErr w:type="spellStart"/>
      <w:r w:rsidRPr="00D726D4">
        <w:rPr>
          <w:rFonts w:cs="Calibri"/>
        </w:rPr>
        <w:t>Ministry</w:t>
      </w:r>
      <w:proofErr w:type="spellEnd"/>
      <w:r w:rsidRPr="00D726D4">
        <w:rPr>
          <w:rFonts w:cs="Calibri"/>
        </w:rPr>
        <w:t xml:space="preserve"> of </w:t>
      </w:r>
      <w:proofErr w:type="spellStart"/>
      <w:r w:rsidRPr="00D726D4">
        <w:rPr>
          <w:rFonts w:cs="Calibri"/>
        </w:rPr>
        <w:t>Entrepreneurship</w:t>
      </w:r>
      <w:proofErr w:type="spellEnd"/>
      <w:r w:rsidRPr="00D726D4">
        <w:rPr>
          <w:rFonts w:cs="Calibri"/>
        </w:rPr>
        <w:t xml:space="preserve"> </w:t>
      </w:r>
      <w:proofErr w:type="spellStart"/>
      <w:r w:rsidRPr="00D726D4">
        <w:rPr>
          <w:rFonts w:cs="Calibri"/>
        </w:rPr>
        <w:t>and</w:t>
      </w:r>
      <w:proofErr w:type="spellEnd"/>
      <w:r w:rsidRPr="00D726D4">
        <w:rPr>
          <w:rFonts w:cs="Calibri"/>
        </w:rPr>
        <w:t xml:space="preserve"> </w:t>
      </w:r>
      <w:proofErr w:type="spellStart"/>
      <w:r w:rsidRPr="00D726D4">
        <w:rPr>
          <w:rFonts w:cs="Calibri"/>
        </w:rPr>
        <w:t>Tourism</w:t>
      </w:r>
      <w:proofErr w:type="spellEnd"/>
      <w:r w:rsidRPr="00D726D4">
        <w:rPr>
          <w:rFonts w:cs="Calibri"/>
        </w:rPr>
        <w:t xml:space="preserve">, </w:t>
      </w:r>
      <w:proofErr w:type="spellStart"/>
      <w:r w:rsidRPr="00D726D4">
        <w:rPr>
          <w:rFonts w:cs="Calibri"/>
        </w:rPr>
        <w:t>Romania's</w:t>
      </w:r>
      <w:proofErr w:type="spellEnd"/>
      <w:r w:rsidRPr="00D726D4">
        <w:rPr>
          <w:rFonts w:cs="Calibri"/>
        </w:rPr>
        <w:t xml:space="preserve"> National </w:t>
      </w:r>
      <w:proofErr w:type="spellStart"/>
      <w:r w:rsidRPr="00D726D4">
        <w:rPr>
          <w:rFonts w:cs="Calibri"/>
        </w:rPr>
        <w:t>Strategy</w:t>
      </w:r>
      <w:proofErr w:type="spellEnd"/>
      <w:r w:rsidRPr="00D726D4">
        <w:rPr>
          <w:rFonts w:cs="Calibri"/>
        </w:rPr>
        <w:t xml:space="preserve"> for </w:t>
      </w:r>
      <w:proofErr w:type="spellStart"/>
      <w:r w:rsidRPr="00D726D4">
        <w:rPr>
          <w:rFonts w:cs="Calibri"/>
        </w:rPr>
        <w:t>Tourism</w:t>
      </w:r>
      <w:proofErr w:type="spellEnd"/>
      <w:r w:rsidRPr="00D726D4">
        <w:rPr>
          <w:rFonts w:cs="Calibri"/>
        </w:rPr>
        <w:t xml:space="preserve"> </w:t>
      </w:r>
      <w:proofErr w:type="spellStart"/>
      <w:r w:rsidRPr="00D726D4">
        <w:rPr>
          <w:rFonts w:cs="Calibri"/>
        </w:rPr>
        <w:t>Development</w:t>
      </w:r>
      <w:proofErr w:type="spellEnd"/>
      <w:r w:rsidRPr="00D726D4">
        <w:rPr>
          <w:rFonts w:cs="Calibri"/>
        </w:rPr>
        <w:t xml:space="preserve"> 2023 – 2035, 2023</w:t>
      </w:r>
      <w:r w:rsidRPr="007E14FF">
        <w:rPr>
          <w:rFonts w:cs="Calibri"/>
        </w:rPr>
        <w:t xml:space="preserve">, </w:t>
      </w:r>
      <w:hyperlink r:id="rId41" w:history="1">
        <w:r w:rsidRPr="007E14FF">
          <w:rPr>
            <w:rStyle w:val="Hyperlink"/>
            <w:rFonts w:cs="Calibri"/>
          </w:rPr>
          <w:t>link</w:t>
        </w:r>
      </w:hyperlink>
    </w:p>
  </w:footnote>
  <w:footnote w:id="47">
    <w:p w14:paraId="1D89B02F" w14:textId="77777777" w:rsidR="00D614DB" w:rsidRPr="007E14FF" w:rsidRDefault="00D614DB" w:rsidP="00D614DB">
      <w:pPr>
        <w:pStyle w:val="FootnoteText"/>
        <w:spacing w:after="0" w:line="240" w:lineRule="auto"/>
      </w:pPr>
      <w:r w:rsidRPr="007E14FF">
        <w:rPr>
          <w:rStyle w:val="FootnoteReference"/>
        </w:rPr>
        <w:footnoteRef/>
      </w:r>
      <w:r w:rsidRPr="007E14FF">
        <w:t xml:space="preserve"> </w:t>
      </w:r>
      <w:proofErr w:type="spellStart"/>
      <w:r w:rsidRPr="00E4372D">
        <w:rPr>
          <w:rFonts w:cs="Calibri"/>
        </w:rPr>
        <w:t>Government</w:t>
      </w:r>
      <w:proofErr w:type="spellEnd"/>
      <w:r w:rsidRPr="00E4372D">
        <w:rPr>
          <w:rFonts w:cs="Calibri"/>
        </w:rPr>
        <w:t xml:space="preserve"> of Romania, </w:t>
      </w:r>
      <w:proofErr w:type="spellStart"/>
      <w:r w:rsidRPr="00E4372D">
        <w:rPr>
          <w:rFonts w:cs="Calibri"/>
        </w:rPr>
        <w:t>Tourism</w:t>
      </w:r>
      <w:proofErr w:type="spellEnd"/>
      <w:r w:rsidRPr="00E4372D">
        <w:rPr>
          <w:rFonts w:cs="Calibri"/>
        </w:rPr>
        <w:t xml:space="preserve"> </w:t>
      </w:r>
      <w:proofErr w:type="spellStart"/>
      <w:r w:rsidRPr="00E4372D">
        <w:rPr>
          <w:rFonts w:cs="Calibri"/>
        </w:rPr>
        <w:t>investment</w:t>
      </w:r>
      <w:proofErr w:type="spellEnd"/>
      <w:r w:rsidRPr="00E4372D">
        <w:rPr>
          <w:rFonts w:cs="Calibri"/>
        </w:rPr>
        <w:t xml:space="preserve"> </w:t>
      </w:r>
      <w:proofErr w:type="spellStart"/>
      <w:r w:rsidRPr="00E4372D">
        <w:rPr>
          <w:rFonts w:cs="Calibri"/>
        </w:rPr>
        <w:t>masterplan</w:t>
      </w:r>
      <w:proofErr w:type="spellEnd"/>
      <w:r w:rsidRPr="007E14FF">
        <w:rPr>
          <w:rFonts w:cs="Calibri"/>
        </w:rPr>
        <w:t xml:space="preserve">, 2017, </w:t>
      </w:r>
      <w:hyperlink r:id="rId42" w:history="1">
        <w:r w:rsidRPr="007E14FF">
          <w:rPr>
            <w:rStyle w:val="Hyperlink"/>
            <w:rFonts w:cs="Calibri"/>
          </w:rPr>
          <w:t>link</w:t>
        </w:r>
      </w:hyperlink>
    </w:p>
  </w:footnote>
  <w:footnote w:id="48">
    <w:p w14:paraId="4638C5ED" w14:textId="77777777" w:rsidR="00D614DB" w:rsidRPr="007E14FF" w:rsidRDefault="00D614DB" w:rsidP="00D614DB">
      <w:pPr>
        <w:pStyle w:val="FootnoteText"/>
        <w:spacing w:after="0" w:line="240" w:lineRule="auto"/>
      </w:pPr>
      <w:r w:rsidRPr="007E14FF">
        <w:rPr>
          <w:rStyle w:val="FootnoteReference"/>
        </w:rPr>
        <w:footnoteRef/>
      </w:r>
      <w:r w:rsidRPr="007E14FF">
        <w:t xml:space="preserve"> </w:t>
      </w:r>
      <w:proofErr w:type="spellStart"/>
      <w:r w:rsidRPr="000C7618">
        <w:t>Ministry</w:t>
      </w:r>
      <w:proofErr w:type="spellEnd"/>
      <w:r w:rsidRPr="000C7618">
        <w:t xml:space="preserve"> of </w:t>
      </w:r>
      <w:proofErr w:type="spellStart"/>
      <w:r w:rsidRPr="000C7618">
        <w:t>Culture</w:t>
      </w:r>
      <w:proofErr w:type="spellEnd"/>
      <w:r w:rsidRPr="000C7618">
        <w:t xml:space="preserve">, </w:t>
      </w:r>
      <w:proofErr w:type="spellStart"/>
      <w:r w:rsidRPr="000C7618">
        <w:t>Strategy</w:t>
      </w:r>
      <w:proofErr w:type="spellEnd"/>
      <w:r w:rsidRPr="000C7618">
        <w:t xml:space="preserve"> for </w:t>
      </w:r>
      <w:proofErr w:type="spellStart"/>
      <w:r w:rsidRPr="000C7618">
        <w:t>culture</w:t>
      </w:r>
      <w:proofErr w:type="spellEnd"/>
      <w:r w:rsidRPr="000C7618">
        <w:t xml:space="preserve"> </w:t>
      </w:r>
      <w:proofErr w:type="spellStart"/>
      <w:r w:rsidRPr="000C7618">
        <w:t>and</w:t>
      </w:r>
      <w:proofErr w:type="spellEnd"/>
      <w:r w:rsidRPr="000C7618">
        <w:t xml:space="preserve"> </w:t>
      </w:r>
      <w:proofErr w:type="spellStart"/>
      <w:r w:rsidRPr="000C7618">
        <w:t>national</w:t>
      </w:r>
      <w:proofErr w:type="spellEnd"/>
      <w:r w:rsidRPr="000C7618">
        <w:t xml:space="preserve"> </w:t>
      </w:r>
      <w:proofErr w:type="spellStart"/>
      <w:r w:rsidRPr="000C7618">
        <w:t>heritage</w:t>
      </w:r>
      <w:proofErr w:type="spellEnd"/>
      <w:r w:rsidRPr="000C7618">
        <w:t xml:space="preserve"> 2016-2022</w:t>
      </w:r>
      <w:r w:rsidRPr="007E14FF">
        <w:t xml:space="preserve">, 2016, </w:t>
      </w:r>
      <w:hyperlink r:id="rId43" w:history="1">
        <w:r w:rsidRPr="007E14FF">
          <w:rPr>
            <w:rStyle w:val="Hyperlink"/>
          </w:rPr>
          <w:t>link</w:t>
        </w:r>
      </w:hyperlink>
    </w:p>
  </w:footnote>
  <w:footnote w:id="49">
    <w:p w14:paraId="0B0E008C" w14:textId="77777777" w:rsidR="00D614DB" w:rsidRPr="007E14FF" w:rsidRDefault="00D614DB" w:rsidP="00D614DB">
      <w:pPr>
        <w:spacing w:after="0" w:line="240" w:lineRule="auto"/>
        <w:rPr>
          <w:rFonts w:eastAsiaTheme="minorEastAsia"/>
          <w:color w:val="auto"/>
          <w:sz w:val="20"/>
          <w:szCs w:val="20"/>
          <w14:ligatures w14:val="none"/>
        </w:rPr>
      </w:pPr>
      <w:r w:rsidRPr="007E14FF">
        <w:rPr>
          <w:rStyle w:val="FootnoteReference"/>
          <w:sz w:val="20"/>
          <w:szCs w:val="20"/>
        </w:rPr>
        <w:footnoteRef/>
      </w:r>
      <w:r w:rsidRPr="007E14FF">
        <w:rPr>
          <w:sz w:val="20"/>
          <w:szCs w:val="20"/>
        </w:rPr>
        <w:t xml:space="preserve"> </w:t>
      </w:r>
      <w:proofErr w:type="spellStart"/>
      <w:r w:rsidRPr="007E14FF">
        <w:rPr>
          <w:i/>
          <w:iCs/>
          <w:sz w:val="20"/>
          <w:szCs w:val="20"/>
        </w:rPr>
        <w:t>op.cit</w:t>
      </w:r>
      <w:proofErr w:type="spellEnd"/>
      <w:r w:rsidRPr="007E14FF">
        <w:rPr>
          <w:rFonts w:eastAsiaTheme="minorEastAsia"/>
          <w:color w:val="auto"/>
          <w:sz w:val="20"/>
          <w:szCs w:val="20"/>
          <w14:ligatures w14:val="none"/>
        </w:rPr>
        <w:t xml:space="preserve">, </w:t>
      </w:r>
      <w:hyperlink r:id="rId44" w:history="1">
        <w:r w:rsidRPr="007E14FF">
          <w:rPr>
            <w:rStyle w:val="Hyperlink"/>
            <w:rFonts w:eastAsiaTheme="minorEastAsia"/>
            <w:sz w:val="20"/>
            <w:szCs w:val="20"/>
            <w14:ligatures w14:val="none"/>
          </w:rPr>
          <w:t>link</w:t>
        </w:r>
      </w:hyperlink>
    </w:p>
  </w:footnote>
  <w:footnote w:id="50">
    <w:p w14:paraId="6F5CA0FF" w14:textId="77777777" w:rsidR="00B75720" w:rsidRPr="007E14FF" w:rsidRDefault="00B75720" w:rsidP="00B75720">
      <w:pPr>
        <w:pStyle w:val="FootnoteText"/>
        <w:spacing w:after="0" w:line="240" w:lineRule="auto"/>
      </w:pPr>
      <w:r w:rsidRPr="007E14FF">
        <w:rPr>
          <w:rStyle w:val="FootnoteReference"/>
        </w:rPr>
        <w:footnoteRef/>
      </w:r>
      <w:r w:rsidRPr="007E14FF">
        <w:t xml:space="preserve"> </w:t>
      </w:r>
      <w:r w:rsidRPr="00C10D10">
        <w:t xml:space="preserve">European </w:t>
      </w:r>
      <w:proofErr w:type="spellStart"/>
      <w:r w:rsidRPr="00C10D10">
        <w:t>Commission</w:t>
      </w:r>
      <w:proofErr w:type="spellEnd"/>
      <w:r w:rsidRPr="00C10D10">
        <w:t xml:space="preserve"> - DG </w:t>
      </w:r>
      <w:proofErr w:type="spellStart"/>
      <w:r w:rsidRPr="00C10D10">
        <w:t>Regio</w:t>
      </w:r>
      <w:proofErr w:type="spellEnd"/>
      <w:r w:rsidRPr="00C10D10">
        <w:t xml:space="preserve">, Administrative </w:t>
      </w:r>
      <w:proofErr w:type="spellStart"/>
      <w:r w:rsidRPr="00C10D10">
        <w:t>Capacity</w:t>
      </w:r>
      <w:proofErr w:type="spellEnd"/>
      <w:r w:rsidRPr="00C10D10">
        <w:t xml:space="preserve"> </w:t>
      </w:r>
      <w:proofErr w:type="spellStart"/>
      <w:r w:rsidRPr="00C10D10">
        <w:t>Roadmap</w:t>
      </w:r>
      <w:proofErr w:type="spellEnd"/>
      <w:r w:rsidRPr="00C10D10">
        <w:t xml:space="preserve"> - </w:t>
      </w:r>
      <w:proofErr w:type="spellStart"/>
      <w:r w:rsidRPr="00C10D10">
        <w:t>Practical</w:t>
      </w:r>
      <w:proofErr w:type="spellEnd"/>
      <w:r w:rsidRPr="00C10D10">
        <w:t xml:space="preserve"> </w:t>
      </w:r>
      <w:proofErr w:type="spellStart"/>
      <w:r w:rsidRPr="00C10D10">
        <w:t>Toolkit</w:t>
      </w:r>
      <w:proofErr w:type="spellEnd"/>
      <w:r w:rsidRPr="00C10D10">
        <w:t>, 2020</w:t>
      </w:r>
      <w:r w:rsidRPr="007E14FF">
        <w:t xml:space="preserve">, </w:t>
      </w:r>
      <w:hyperlink r:id="rId45" w:history="1">
        <w:r w:rsidRPr="007E14FF">
          <w:rPr>
            <w:rStyle w:val="Hyperlink"/>
          </w:rPr>
          <w:t>link</w:t>
        </w:r>
      </w:hyperlink>
    </w:p>
  </w:footnote>
  <w:footnote w:id="51">
    <w:p w14:paraId="68C3819D" w14:textId="77777777" w:rsidR="005A6DD1" w:rsidRPr="007E14FF" w:rsidRDefault="005A6DD1" w:rsidP="005A6DD1">
      <w:pPr>
        <w:pStyle w:val="FootnoteText"/>
        <w:spacing w:after="0" w:line="240" w:lineRule="auto"/>
      </w:pPr>
      <w:r w:rsidRPr="007E14FF">
        <w:rPr>
          <w:rStyle w:val="FootnoteReference"/>
        </w:rPr>
        <w:footnoteRef/>
      </w:r>
      <w:r w:rsidRPr="007E14FF">
        <w:t xml:space="preserve"> </w:t>
      </w:r>
      <w:r w:rsidRPr="000D20B7">
        <w:t xml:space="preserve">Regional </w:t>
      </w:r>
      <w:proofErr w:type="spellStart"/>
      <w:r w:rsidRPr="000D20B7">
        <w:t>Development</w:t>
      </w:r>
      <w:proofErr w:type="spellEnd"/>
      <w:r w:rsidRPr="000D20B7">
        <w:t xml:space="preserve"> Agency South-West Oltenia</w:t>
      </w:r>
      <w:r w:rsidRPr="007E14FF">
        <w:t xml:space="preserve">, </w:t>
      </w:r>
      <w:proofErr w:type="spellStart"/>
      <w:r w:rsidRPr="000D20B7">
        <w:t>Roadmap</w:t>
      </w:r>
      <w:proofErr w:type="spellEnd"/>
      <w:r w:rsidRPr="000D20B7">
        <w:t xml:space="preserve"> for </w:t>
      </w:r>
      <w:proofErr w:type="spellStart"/>
      <w:r w:rsidRPr="000D20B7">
        <w:t>strengthening</w:t>
      </w:r>
      <w:proofErr w:type="spellEnd"/>
      <w:r w:rsidRPr="000D20B7">
        <w:t xml:space="preserve"> </w:t>
      </w:r>
      <w:proofErr w:type="spellStart"/>
      <w:r w:rsidRPr="000D20B7">
        <w:t>the</w:t>
      </w:r>
      <w:proofErr w:type="spellEnd"/>
      <w:r w:rsidRPr="000D20B7">
        <w:t xml:space="preserve"> administrative </w:t>
      </w:r>
      <w:proofErr w:type="spellStart"/>
      <w:r w:rsidRPr="000D20B7">
        <w:t>capacity</w:t>
      </w:r>
      <w:proofErr w:type="spellEnd"/>
      <w:r w:rsidRPr="000D20B7">
        <w:t xml:space="preserve"> of </w:t>
      </w:r>
      <w:proofErr w:type="spellStart"/>
      <w:r w:rsidRPr="000D20B7">
        <w:t>the</w:t>
      </w:r>
      <w:proofErr w:type="spellEnd"/>
      <w:r w:rsidRPr="000D20B7">
        <w:t xml:space="preserve"> RP </w:t>
      </w:r>
      <w:proofErr w:type="spellStart"/>
      <w:r w:rsidRPr="000D20B7">
        <w:t>beneficiaries</w:t>
      </w:r>
      <w:proofErr w:type="spellEnd"/>
      <w:r w:rsidRPr="000D20B7">
        <w:t xml:space="preserve"> </w:t>
      </w:r>
      <w:proofErr w:type="spellStart"/>
      <w:r w:rsidRPr="000D20B7">
        <w:t>and</w:t>
      </w:r>
      <w:proofErr w:type="spellEnd"/>
      <w:r w:rsidRPr="000D20B7">
        <w:t xml:space="preserve"> RDA as MA of RP 2021-2027</w:t>
      </w:r>
      <w:r w:rsidRPr="007E14FF">
        <w:t xml:space="preserve">, 2024, </w:t>
      </w:r>
      <w:hyperlink r:id="rId46" w:history="1">
        <w:r w:rsidRPr="007E14FF">
          <w:rPr>
            <w:rStyle w:val="Hyperlink"/>
          </w:rPr>
          <w:t>link</w:t>
        </w:r>
      </w:hyperlink>
    </w:p>
  </w:footnote>
  <w:footnote w:id="52">
    <w:p w14:paraId="2F504777" w14:textId="77777777" w:rsidR="005A6DD1" w:rsidRPr="007E14FF" w:rsidRDefault="005A6DD1" w:rsidP="005A6DD1">
      <w:pPr>
        <w:pStyle w:val="FootnoteText"/>
        <w:spacing w:after="0" w:line="240" w:lineRule="auto"/>
      </w:pPr>
      <w:r w:rsidRPr="007E14FF">
        <w:rPr>
          <w:rStyle w:val="FootnoteReference"/>
        </w:rPr>
        <w:footnoteRef/>
      </w:r>
      <w:r w:rsidRPr="007E14FF">
        <w:t xml:space="preserve"> </w:t>
      </w:r>
      <w:proofErr w:type="spellStart"/>
      <w:r w:rsidRPr="00802D98">
        <w:t>Organization</w:t>
      </w:r>
      <w:proofErr w:type="spellEnd"/>
      <w:r w:rsidRPr="00802D98">
        <w:t xml:space="preserve"> for Economic Co-</w:t>
      </w:r>
      <w:proofErr w:type="spellStart"/>
      <w:r w:rsidRPr="00802D98">
        <w:t>operation</w:t>
      </w:r>
      <w:proofErr w:type="spellEnd"/>
      <w:r w:rsidRPr="00802D98">
        <w:t xml:space="preserve"> </w:t>
      </w:r>
      <w:proofErr w:type="spellStart"/>
      <w:r w:rsidRPr="00802D98">
        <w:t>and</w:t>
      </w:r>
      <w:proofErr w:type="spellEnd"/>
      <w:r w:rsidRPr="00802D98">
        <w:t xml:space="preserve"> </w:t>
      </w:r>
      <w:proofErr w:type="spellStart"/>
      <w:r w:rsidRPr="00802D98">
        <w:t>Development</w:t>
      </w:r>
      <w:proofErr w:type="spellEnd"/>
      <w:r w:rsidRPr="00802D98">
        <w:t xml:space="preserve">, </w:t>
      </w:r>
      <w:proofErr w:type="spellStart"/>
      <w:r w:rsidRPr="00802D98">
        <w:t>Strengthening</w:t>
      </w:r>
      <w:proofErr w:type="spellEnd"/>
      <w:r w:rsidRPr="00802D98">
        <w:t xml:space="preserve"> </w:t>
      </w:r>
      <w:proofErr w:type="spellStart"/>
      <w:r>
        <w:t>the</w:t>
      </w:r>
      <w:proofErr w:type="spellEnd"/>
      <w:r>
        <w:t xml:space="preserve"> </w:t>
      </w:r>
      <w:proofErr w:type="spellStart"/>
      <w:r w:rsidRPr="00802D98">
        <w:t>governance</w:t>
      </w:r>
      <w:proofErr w:type="spellEnd"/>
      <w:r w:rsidRPr="00802D98">
        <w:t xml:space="preserve"> of EU </w:t>
      </w:r>
      <w:proofErr w:type="spellStart"/>
      <w:r w:rsidRPr="00802D98">
        <w:t>funds</w:t>
      </w:r>
      <w:proofErr w:type="spellEnd"/>
      <w:r w:rsidRPr="00802D98">
        <w:t xml:space="preserve"> </w:t>
      </w:r>
      <w:r>
        <w:t xml:space="preserve">in </w:t>
      </w:r>
      <w:proofErr w:type="spellStart"/>
      <w:r>
        <w:t>the</w:t>
      </w:r>
      <w:proofErr w:type="spellEnd"/>
      <w:r>
        <w:t xml:space="preserve"> </w:t>
      </w:r>
      <w:proofErr w:type="spellStart"/>
      <w:r>
        <w:t>framework</w:t>
      </w:r>
      <w:proofErr w:type="spellEnd"/>
      <w:r>
        <w:t xml:space="preserve"> of</w:t>
      </w:r>
      <w:r w:rsidRPr="00802D98">
        <w:t xml:space="preserve"> </w:t>
      </w:r>
      <w:proofErr w:type="spellStart"/>
      <w:r w:rsidRPr="00802D98">
        <w:t>cohesion</w:t>
      </w:r>
      <w:proofErr w:type="spellEnd"/>
      <w:r w:rsidRPr="00802D98">
        <w:t xml:space="preserve"> </w:t>
      </w:r>
      <w:proofErr w:type="spellStart"/>
      <w:r w:rsidRPr="00802D98">
        <w:t>policy</w:t>
      </w:r>
      <w:proofErr w:type="spellEnd"/>
      <w:r w:rsidRPr="00802D98">
        <w:t>, 2020</w:t>
      </w:r>
      <w:r w:rsidRPr="007E14FF">
        <w:t xml:space="preserve">, </w:t>
      </w:r>
      <w:hyperlink r:id="rId47" w:history="1">
        <w:r w:rsidRPr="007E14FF">
          <w:rPr>
            <w:rStyle w:val="Hyperlink"/>
          </w:rPr>
          <w:t>link</w:t>
        </w:r>
      </w:hyperlink>
    </w:p>
  </w:footnote>
  <w:footnote w:id="53">
    <w:p w14:paraId="35D27B7E" w14:textId="77777777" w:rsidR="005A6DD1" w:rsidRPr="007E14FF" w:rsidRDefault="005A6DD1" w:rsidP="005A6DD1">
      <w:pPr>
        <w:pStyle w:val="FootnoteText"/>
        <w:spacing w:line="240" w:lineRule="auto"/>
      </w:pPr>
      <w:r w:rsidRPr="007E14FF">
        <w:rPr>
          <w:rStyle w:val="FootnoteReference"/>
        </w:rPr>
        <w:footnoteRef/>
      </w:r>
      <w:r w:rsidRPr="007E14FF">
        <w:t xml:space="preserve"> </w:t>
      </w:r>
      <w:r w:rsidRPr="000C7509">
        <w:t xml:space="preserve">European </w:t>
      </w:r>
      <w:proofErr w:type="spellStart"/>
      <w:r w:rsidRPr="000C7509">
        <w:t>Commission</w:t>
      </w:r>
      <w:proofErr w:type="spellEnd"/>
      <w:r w:rsidRPr="000C7509">
        <w:t xml:space="preserve">, </w:t>
      </w:r>
      <w:proofErr w:type="spellStart"/>
      <w:r w:rsidRPr="000C7509">
        <w:t>Characteristics</w:t>
      </w:r>
      <w:proofErr w:type="spellEnd"/>
      <w:r w:rsidRPr="000C7509">
        <w:t xml:space="preserve"> </w:t>
      </w:r>
      <w:proofErr w:type="spellStart"/>
      <w:r w:rsidRPr="000C7509">
        <w:t>and</w:t>
      </w:r>
      <w:proofErr w:type="spellEnd"/>
      <w:r w:rsidRPr="000C7509">
        <w:t xml:space="preserve"> performance of </w:t>
      </w:r>
      <w:proofErr w:type="spellStart"/>
      <w:r>
        <w:t>the</w:t>
      </w:r>
      <w:proofErr w:type="spellEnd"/>
      <w:r>
        <w:t xml:space="preserve"> </w:t>
      </w:r>
      <w:r w:rsidRPr="000C7509">
        <w:t xml:space="preserve">public </w:t>
      </w:r>
      <w:proofErr w:type="spellStart"/>
      <w:r w:rsidRPr="000C7509">
        <w:t>administration</w:t>
      </w:r>
      <w:proofErr w:type="spellEnd"/>
      <w:r w:rsidRPr="000C7509">
        <w:t xml:space="preserve"> in EU28: Romania, 2018</w:t>
      </w:r>
      <w:r w:rsidRPr="007E14FF">
        <w:t xml:space="preserve">, </w:t>
      </w:r>
      <w:hyperlink r:id="rId48" w:history="1">
        <w:r w:rsidRPr="007E14FF">
          <w:rPr>
            <w:rStyle w:val="Hyperlink"/>
          </w:rPr>
          <w:t>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66F61" w14:textId="688819CF" w:rsidR="00EE55C8" w:rsidRDefault="00EE55C8" w:rsidP="00EE55C8">
    <w:pPr>
      <w:ind w:left="-1440"/>
      <w:jc w:val="right"/>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2" behindDoc="0" locked="0" layoutInCell="1" allowOverlap="1" wp14:anchorId="05B1D8D3" wp14:editId="2BF04CB5">
          <wp:simplePos x="0" y="0"/>
          <wp:positionH relativeFrom="margin">
            <wp:posOffset>4579620</wp:posOffset>
          </wp:positionH>
          <wp:positionV relativeFrom="margin">
            <wp:posOffset>-717550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3ACBD95F" wp14:editId="43AE429A">
          <wp:simplePos x="0" y="0"/>
          <wp:positionH relativeFrom="margin">
            <wp:align>center</wp:align>
          </wp:positionH>
          <wp:positionV relativeFrom="page">
            <wp:posOffset>182880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0" behindDoc="0" locked="0" layoutInCell="1" allowOverlap="1" wp14:anchorId="7BEAE03A" wp14:editId="5A109576">
          <wp:simplePos x="0" y="0"/>
          <wp:positionH relativeFrom="margin">
            <wp:posOffset>-441960</wp:posOffset>
          </wp:positionH>
          <wp:positionV relativeFrom="topMargin">
            <wp:posOffset>320040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3"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Extrabold" w:hAnsi="Eastman Roman Trial Extrabold" w:cstheme="minorHAnsi"/>
        <w:noProof/>
        <w:sz w:val="36"/>
        <w:szCs w:val="36"/>
      </w:rPr>
      <w:t xml:space="preserve">                                                                     </w:t>
    </w:r>
  </w:p>
  <w:p w14:paraId="363552E4" w14:textId="77777777" w:rsidR="00EE55C8" w:rsidRDefault="00EE55C8">
    <w:pPr>
      <w:pStyle w:val="Header"/>
    </w:pPr>
  </w:p>
  <w:p w14:paraId="1247B770" w14:textId="77777777" w:rsidR="00B41D53" w:rsidRDefault="00B41D53">
    <w:pPr>
      <w:pStyle w:val="Header"/>
    </w:pPr>
  </w:p>
  <w:p w14:paraId="2D7AB6D3" w14:textId="77777777" w:rsidR="00B41D53" w:rsidRDefault="00B41D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0E4F7" w14:textId="77777777" w:rsidR="00DB0DB0" w:rsidRDefault="00DB0DB0" w:rsidP="00DB0DB0">
    <w:pPr>
      <w:ind w:left="-1440"/>
      <w:jc w:val="right"/>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7" behindDoc="0" locked="0" layoutInCell="1" allowOverlap="1" wp14:anchorId="4C4CD0F7" wp14:editId="39F969AD">
          <wp:simplePos x="0" y="0"/>
          <wp:positionH relativeFrom="margin">
            <wp:posOffset>4579620</wp:posOffset>
          </wp:positionH>
          <wp:positionV relativeFrom="margin">
            <wp:posOffset>-717550</wp:posOffset>
          </wp:positionV>
          <wp:extent cx="1709420" cy="624840"/>
          <wp:effectExtent l="0" t="0" r="0" b="0"/>
          <wp:wrapSquare wrapText="bothSides"/>
          <wp:docPr id="399945612"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6" behindDoc="0" locked="0" layoutInCell="1" allowOverlap="1" wp14:anchorId="3057D270" wp14:editId="3430DC31">
          <wp:simplePos x="0" y="0"/>
          <wp:positionH relativeFrom="margin">
            <wp:align>center</wp:align>
          </wp:positionH>
          <wp:positionV relativeFrom="page">
            <wp:posOffset>182880</wp:posOffset>
          </wp:positionV>
          <wp:extent cx="1897380" cy="746760"/>
          <wp:effectExtent l="0" t="0" r="0" b="0"/>
          <wp:wrapSquare wrapText="bothSides"/>
          <wp:docPr id="1276922998"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5" behindDoc="0" locked="0" layoutInCell="1" allowOverlap="1" wp14:anchorId="517C24E8" wp14:editId="22A0C1B5">
          <wp:simplePos x="0" y="0"/>
          <wp:positionH relativeFrom="margin">
            <wp:posOffset>-441960</wp:posOffset>
          </wp:positionH>
          <wp:positionV relativeFrom="topMargin">
            <wp:posOffset>320040</wp:posOffset>
          </wp:positionV>
          <wp:extent cx="2164080" cy="453390"/>
          <wp:effectExtent l="0" t="0" r="0" b="3810"/>
          <wp:wrapSquare wrapText="bothSides"/>
          <wp:docPr id="1580548356"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3"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Extrabold" w:hAnsi="Eastman Roman Trial Extrabold" w:cstheme="minorHAnsi"/>
        <w:noProof/>
        <w:sz w:val="36"/>
        <w:szCs w:val="36"/>
      </w:rPr>
      <w:t xml:space="preserve">                                                                     </w:t>
    </w:r>
  </w:p>
  <w:p w14:paraId="38DE8D1E" w14:textId="77777777" w:rsidR="00DB0DB0" w:rsidRDefault="00DB0D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9E54"/>
    <w:multiLevelType w:val="hybridMultilevel"/>
    <w:tmpl w:val="FFFFFFFF"/>
    <w:lvl w:ilvl="0" w:tplc="070CA784">
      <w:start w:val="1"/>
      <w:numFmt w:val="bullet"/>
      <w:lvlText w:val="-"/>
      <w:lvlJc w:val="left"/>
      <w:pPr>
        <w:ind w:left="720" w:hanging="360"/>
      </w:pPr>
      <w:rPr>
        <w:rFonts w:ascii="Aptos" w:hAnsi="Aptos" w:hint="default"/>
      </w:rPr>
    </w:lvl>
    <w:lvl w:ilvl="1" w:tplc="F3AEF900">
      <w:start w:val="1"/>
      <w:numFmt w:val="bullet"/>
      <w:lvlText w:val="o"/>
      <w:lvlJc w:val="left"/>
      <w:pPr>
        <w:ind w:left="1440" w:hanging="360"/>
      </w:pPr>
      <w:rPr>
        <w:rFonts w:ascii="Courier New" w:hAnsi="Courier New" w:hint="default"/>
      </w:rPr>
    </w:lvl>
    <w:lvl w:ilvl="2" w:tplc="0EE0FCA0">
      <w:start w:val="1"/>
      <w:numFmt w:val="bullet"/>
      <w:lvlText w:val=""/>
      <w:lvlJc w:val="left"/>
      <w:pPr>
        <w:ind w:left="2160" w:hanging="360"/>
      </w:pPr>
      <w:rPr>
        <w:rFonts w:ascii="Wingdings" w:hAnsi="Wingdings" w:hint="default"/>
      </w:rPr>
    </w:lvl>
    <w:lvl w:ilvl="3" w:tplc="40A6AA12">
      <w:start w:val="1"/>
      <w:numFmt w:val="bullet"/>
      <w:lvlText w:val=""/>
      <w:lvlJc w:val="left"/>
      <w:pPr>
        <w:ind w:left="2880" w:hanging="360"/>
      </w:pPr>
      <w:rPr>
        <w:rFonts w:ascii="Symbol" w:hAnsi="Symbol" w:hint="default"/>
      </w:rPr>
    </w:lvl>
    <w:lvl w:ilvl="4" w:tplc="E3140550">
      <w:start w:val="1"/>
      <w:numFmt w:val="bullet"/>
      <w:lvlText w:val="o"/>
      <w:lvlJc w:val="left"/>
      <w:pPr>
        <w:ind w:left="3600" w:hanging="360"/>
      </w:pPr>
      <w:rPr>
        <w:rFonts w:ascii="Courier New" w:hAnsi="Courier New" w:hint="default"/>
      </w:rPr>
    </w:lvl>
    <w:lvl w:ilvl="5" w:tplc="0F6E30CE">
      <w:start w:val="1"/>
      <w:numFmt w:val="bullet"/>
      <w:lvlText w:val=""/>
      <w:lvlJc w:val="left"/>
      <w:pPr>
        <w:ind w:left="4320" w:hanging="360"/>
      </w:pPr>
      <w:rPr>
        <w:rFonts w:ascii="Wingdings" w:hAnsi="Wingdings" w:hint="default"/>
      </w:rPr>
    </w:lvl>
    <w:lvl w:ilvl="6" w:tplc="954E7D76">
      <w:start w:val="1"/>
      <w:numFmt w:val="bullet"/>
      <w:lvlText w:val=""/>
      <w:lvlJc w:val="left"/>
      <w:pPr>
        <w:ind w:left="5040" w:hanging="360"/>
      </w:pPr>
      <w:rPr>
        <w:rFonts w:ascii="Symbol" w:hAnsi="Symbol" w:hint="default"/>
      </w:rPr>
    </w:lvl>
    <w:lvl w:ilvl="7" w:tplc="8886F5A6">
      <w:start w:val="1"/>
      <w:numFmt w:val="bullet"/>
      <w:lvlText w:val="o"/>
      <w:lvlJc w:val="left"/>
      <w:pPr>
        <w:ind w:left="5760" w:hanging="360"/>
      </w:pPr>
      <w:rPr>
        <w:rFonts w:ascii="Courier New" w:hAnsi="Courier New" w:hint="default"/>
      </w:rPr>
    </w:lvl>
    <w:lvl w:ilvl="8" w:tplc="82B4C21C">
      <w:start w:val="1"/>
      <w:numFmt w:val="bullet"/>
      <w:lvlText w:val=""/>
      <w:lvlJc w:val="left"/>
      <w:pPr>
        <w:ind w:left="6480" w:hanging="360"/>
      </w:pPr>
      <w:rPr>
        <w:rFonts w:ascii="Wingdings" w:hAnsi="Wingdings" w:hint="default"/>
      </w:rPr>
    </w:lvl>
  </w:abstractNum>
  <w:abstractNum w:abstractNumId="1" w15:restartNumberingAfterBreak="0">
    <w:nsid w:val="04165E0E"/>
    <w:multiLevelType w:val="hybridMultilevel"/>
    <w:tmpl w:val="FF724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C0C14"/>
    <w:multiLevelType w:val="hybridMultilevel"/>
    <w:tmpl w:val="0510BA86"/>
    <w:lvl w:ilvl="0" w:tplc="B3C6386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E25B5"/>
    <w:multiLevelType w:val="hybridMultilevel"/>
    <w:tmpl w:val="B656A288"/>
    <w:lvl w:ilvl="0" w:tplc="816C74B0">
      <w:start w:val="5"/>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877A7"/>
    <w:multiLevelType w:val="multilevel"/>
    <w:tmpl w:val="2AD80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095621"/>
    <w:multiLevelType w:val="hybridMultilevel"/>
    <w:tmpl w:val="039A9244"/>
    <w:lvl w:ilvl="0" w:tplc="816C74B0">
      <w:start w:val="5"/>
      <w:numFmt w:val="bullet"/>
      <w:lvlText w:val="-"/>
      <w:lvlJc w:val="left"/>
      <w:pPr>
        <w:ind w:left="720" w:hanging="360"/>
      </w:pPr>
      <w:rPr>
        <w:rFonts w:ascii="Cambria" w:hAnsi="Cambria"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13597A36"/>
    <w:multiLevelType w:val="hybridMultilevel"/>
    <w:tmpl w:val="53CAE14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97603AC"/>
    <w:multiLevelType w:val="hybridMultilevel"/>
    <w:tmpl w:val="3F6A4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573CA"/>
    <w:multiLevelType w:val="multilevel"/>
    <w:tmpl w:val="C430194C"/>
    <w:lvl w:ilvl="0">
      <w:numFmt w:val="bullet"/>
      <w:lvlText w:val="-"/>
      <w:lvlJc w:val="left"/>
      <w:pPr>
        <w:ind w:left="360" w:firstLine="0"/>
      </w:pPr>
      <w:rPr>
        <w:rFonts w:ascii="Trebuchet MS" w:eastAsia="Trebuchet MS" w:hAnsi="Trebuchet MS" w:cs="Trebuchet MS"/>
      </w:rPr>
    </w:lvl>
    <w:lvl w:ilvl="1">
      <w:numFmt w:val="bullet"/>
      <w:lvlText w:val="o"/>
      <w:lvlJc w:val="left"/>
      <w:pPr>
        <w:ind w:left="1080" w:firstLine="0"/>
      </w:pPr>
      <w:rPr>
        <w:rFonts w:ascii="Courier New" w:eastAsia="Courier New" w:hAnsi="Courier New" w:cs="Courier New"/>
      </w:rPr>
    </w:lvl>
    <w:lvl w:ilvl="2">
      <w:numFmt w:val="bullet"/>
      <w:lvlText w:val="▪"/>
      <w:lvlJc w:val="left"/>
      <w:pPr>
        <w:ind w:left="1800" w:firstLine="0"/>
      </w:pPr>
      <w:rPr>
        <w:rFonts w:ascii="Noto Sans Symbols" w:eastAsia="Noto Sans Symbols" w:hAnsi="Noto Sans Symbols" w:cs="Noto Sans Symbols"/>
      </w:rPr>
    </w:lvl>
    <w:lvl w:ilvl="3">
      <w:numFmt w:val="bullet"/>
      <w:lvlText w:val="●"/>
      <w:lvlJc w:val="left"/>
      <w:pPr>
        <w:ind w:left="2520" w:firstLine="0"/>
      </w:pPr>
      <w:rPr>
        <w:rFonts w:ascii="Noto Sans Symbols" w:eastAsia="Noto Sans Symbols" w:hAnsi="Noto Sans Symbols" w:cs="Noto Sans Symbols"/>
      </w:rPr>
    </w:lvl>
    <w:lvl w:ilvl="4">
      <w:numFmt w:val="bullet"/>
      <w:lvlText w:val="o"/>
      <w:lvlJc w:val="left"/>
      <w:pPr>
        <w:ind w:left="3240" w:firstLine="0"/>
      </w:pPr>
      <w:rPr>
        <w:rFonts w:ascii="Courier New" w:eastAsia="Courier New" w:hAnsi="Courier New" w:cs="Courier New"/>
      </w:rPr>
    </w:lvl>
    <w:lvl w:ilvl="5">
      <w:numFmt w:val="bullet"/>
      <w:lvlText w:val="▪"/>
      <w:lvlJc w:val="left"/>
      <w:pPr>
        <w:ind w:left="3960" w:firstLine="0"/>
      </w:pPr>
      <w:rPr>
        <w:rFonts w:ascii="Noto Sans Symbols" w:eastAsia="Noto Sans Symbols" w:hAnsi="Noto Sans Symbols" w:cs="Noto Sans Symbols"/>
      </w:rPr>
    </w:lvl>
    <w:lvl w:ilvl="6">
      <w:numFmt w:val="bullet"/>
      <w:lvlText w:val="●"/>
      <w:lvlJc w:val="left"/>
      <w:pPr>
        <w:ind w:left="4680" w:firstLine="0"/>
      </w:pPr>
      <w:rPr>
        <w:rFonts w:ascii="Noto Sans Symbols" w:eastAsia="Noto Sans Symbols" w:hAnsi="Noto Sans Symbols" w:cs="Noto Sans Symbols"/>
      </w:rPr>
    </w:lvl>
    <w:lvl w:ilvl="7">
      <w:numFmt w:val="bullet"/>
      <w:lvlText w:val="o"/>
      <w:lvlJc w:val="left"/>
      <w:pPr>
        <w:ind w:left="5400" w:firstLine="0"/>
      </w:pPr>
      <w:rPr>
        <w:rFonts w:ascii="Courier New" w:eastAsia="Courier New" w:hAnsi="Courier New" w:cs="Courier New"/>
      </w:rPr>
    </w:lvl>
    <w:lvl w:ilvl="8">
      <w:numFmt w:val="bullet"/>
      <w:lvlText w:val="▪"/>
      <w:lvlJc w:val="left"/>
      <w:pPr>
        <w:ind w:left="6120" w:firstLine="0"/>
      </w:pPr>
      <w:rPr>
        <w:rFonts w:ascii="Noto Sans Symbols" w:eastAsia="Noto Sans Symbols" w:hAnsi="Noto Sans Symbols" w:cs="Noto Sans Symbols"/>
      </w:rPr>
    </w:lvl>
  </w:abstractNum>
  <w:abstractNum w:abstractNumId="9" w15:restartNumberingAfterBreak="0">
    <w:nsid w:val="2A041868"/>
    <w:multiLevelType w:val="hybridMultilevel"/>
    <w:tmpl w:val="6E4A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F10D73"/>
    <w:multiLevelType w:val="hybridMultilevel"/>
    <w:tmpl w:val="5C1065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E40AA3"/>
    <w:multiLevelType w:val="hybridMultilevel"/>
    <w:tmpl w:val="9F54D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57B3F"/>
    <w:multiLevelType w:val="hybridMultilevel"/>
    <w:tmpl w:val="E692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B4E84"/>
    <w:multiLevelType w:val="hybridMultilevel"/>
    <w:tmpl w:val="D2127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A3010"/>
    <w:multiLevelType w:val="hybridMultilevel"/>
    <w:tmpl w:val="345AAE26"/>
    <w:lvl w:ilvl="0" w:tplc="322AF37A">
      <w:start w:val="1"/>
      <w:numFmt w:val="lowerRoman"/>
      <w:lvlText w:val="%1"/>
      <w:lvlJc w:val="left"/>
      <w:pPr>
        <w:ind w:left="720" w:hanging="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8E075C"/>
    <w:multiLevelType w:val="multilevel"/>
    <w:tmpl w:val="ED1E5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251705"/>
    <w:multiLevelType w:val="hybridMultilevel"/>
    <w:tmpl w:val="403CC514"/>
    <w:lvl w:ilvl="0" w:tplc="816C74B0">
      <w:start w:val="5"/>
      <w:numFmt w:val="bullet"/>
      <w:lvlText w:val="-"/>
      <w:lvlJc w:val="left"/>
      <w:pPr>
        <w:ind w:left="1068" w:hanging="360"/>
      </w:pPr>
      <w:rPr>
        <w:rFonts w:ascii="Cambria" w:hAnsi="Cambria" w:hint="default"/>
        <w:color w:val="auto"/>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17" w15:restartNumberingAfterBreak="0">
    <w:nsid w:val="4E6D7931"/>
    <w:multiLevelType w:val="hybridMultilevel"/>
    <w:tmpl w:val="5960302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51F4454B"/>
    <w:multiLevelType w:val="multilevel"/>
    <w:tmpl w:val="2F787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647C0D"/>
    <w:multiLevelType w:val="hybridMultilevel"/>
    <w:tmpl w:val="84FAEEEE"/>
    <w:lvl w:ilvl="0" w:tplc="816C74B0">
      <w:start w:val="5"/>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D85C07"/>
    <w:multiLevelType w:val="hybridMultilevel"/>
    <w:tmpl w:val="0C38FA58"/>
    <w:lvl w:ilvl="0" w:tplc="C6C0709A">
      <w:start w:val="1"/>
      <w:numFmt w:val="decimal"/>
      <w:pStyle w:val="NormalNumberedPar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AE7EA3"/>
    <w:multiLevelType w:val="hybridMultilevel"/>
    <w:tmpl w:val="2604F564"/>
    <w:lvl w:ilvl="0" w:tplc="B3C6386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128D1"/>
    <w:multiLevelType w:val="hybridMultilevel"/>
    <w:tmpl w:val="2EE8E61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10D6E2D"/>
    <w:multiLevelType w:val="hybridMultilevel"/>
    <w:tmpl w:val="06BEE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E838EE"/>
    <w:multiLevelType w:val="hybridMultilevel"/>
    <w:tmpl w:val="6BC4AC76"/>
    <w:lvl w:ilvl="0" w:tplc="B3C6386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C31AF"/>
    <w:multiLevelType w:val="hybridMultilevel"/>
    <w:tmpl w:val="80F835C0"/>
    <w:lvl w:ilvl="0" w:tplc="816C74B0">
      <w:start w:val="5"/>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DE047B"/>
    <w:multiLevelType w:val="hybridMultilevel"/>
    <w:tmpl w:val="36607A58"/>
    <w:lvl w:ilvl="0" w:tplc="7E564F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940224">
    <w:abstractNumId w:val="24"/>
  </w:num>
  <w:num w:numId="2" w16cid:durableId="692148520">
    <w:abstractNumId w:val="9"/>
  </w:num>
  <w:num w:numId="3" w16cid:durableId="1813136080">
    <w:abstractNumId w:val="23"/>
  </w:num>
  <w:num w:numId="4" w16cid:durableId="625889954">
    <w:abstractNumId w:val="22"/>
  </w:num>
  <w:num w:numId="5" w16cid:durableId="55973699">
    <w:abstractNumId w:val="7"/>
  </w:num>
  <w:num w:numId="6" w16cid:durableId="1705862769">
    <w:abstractNumId w:val="12"/>
  </w:num>
  <w:num w:numId="7" w16cid:durableId="1362702616">
    <w:abstractNumId w:val="0"/>
  </w:num>
  <w:num w:numId="8" w16cid:durableId="866336684">
    <w:abstractNumId w:val="4"/>
  </w:num>
  <w:num w:numId="9" w16cid:durableId="406923093">
    <w:abstractNumId w:val="18"/>
  </w:num>
  <w:num w:numId="10" w16cid:durableId="707218934">
    <w:abstractNumId w:val="6"/>
  </w:num>
  <w:num w:numId="11" w16cid:durableId="1065493032">
    <w:abstractNumId w:val="3"/>
  </w:num>
  <w:num w:numId="12" w16cid:durableId="1644506895">
    <w:abstractNumId w:val="16"/>
  </w:num>
  <w:num w:numId="13" w16cid:durableId="1296108232">
    <w:abstractNumId w:val="14"/>
  </w:num>
  <w:num w:numId="14" w16cid:durableId="547764524">
    <w:abstractNumId w:val="1"/>
  </w:num>
  <w:num w:numId="15" w16cid:durableId="1582520236">
    <w:abstractNumId w:val="11"/>
  </w:num>
  <w:num w:numId="16" w16cid:durableId="2138177597">
    <w:abstractNumId w:val="13"/>
  </w:num>
  <w:num w:numId="17" w16cid:durableId="1660647518">
    <w:abstractNumId w:val="25"/>
  </w:num>
  <w:num w:numId="18" w16cid:durableId="45570877">
    <w:abstractNumId w:val="5"/>
  </w:num>
  <w:num w:numId="19" w16cid:durableId="157843202">
    <w:abstractNumId w:val="19"/>
  </w:num>
  <w:num w:numId="20" w16cid:durableId="1087925006">
    <w:abstractNumId w:val="26"/>
  </w:num>
  <w:num w:numId="21" w16cid:durableId="554239771">
    <w:abstractNumId w:val="8"/>
  </w:num>
  <w:num w:numId="22" w16cid:durableId="1230580264">
    <w:abstractNumId w:val="15"/>
  </w:num>
  <w:num w:numId="23" w16cid:durableId="1325670835">
    <w:abstractNumId w:val="2"/>
  </w:num>
  <w:num w:numId="24" w16cid:durableId="1956255954">
    <w:abstractNumId w:val="21"/>
  </w:num>
  <w:num w:numId="25" w16cid:durableId="1684934100">
    <w:abstractNumId w:val="10"/>
  </w:num>
  <w:num w:numId="26" w16cid:durableId="1945188307">
    <w:abstractNumId w:val="20"/>
  </w:num>
  <w:num w:numId="27" w16cid:durableId="121650325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9EC"/>
    <w:rsid w:val="00000399"/>
    <w:rsid w:val="000101A6"/>
    <w:rsid w:val="000110E5"/>
    <w:rsid w:val="00011BC1"/>
    <w:rsid w:val="00016995"/>
    <w:rsid w:val="0002033F"/>
    <w:rsid w:val="00020EA1"/>
    <w:rsid w:val="00025775"/>
    <w:rsid w:val="00025863"/>
    <w:rsid w:val="00025AE4"/>
    <w:rsid w:val="0002713D"/>
    <w:rsid w:val="000272BC"/>
    <w:rsid w:val="000302DD"/>
    <w:rsid w:val="0003150B"/>
    <w:rsid w:val="00031BDF"/>
    <w:rsid w:val="0003204F"/>
    <w:rsid w:val="00032EB9"/>
    <w:rsid w:val="000335A2"/>
    <w:rsid w:val="00033E45"/>
    <w:rsid w:val="00033FE2"/>
    <w:rsid w:val="00034FB3"/>
    <w:rsid w:val="00040003"/>
    <w:rsid w:val="00040032"/>
    <w:rsid w:val="00040358"/>
    <w:rsid w:val="00040C4E"/>
    <w:rsid w:val="00043A06"/>
    <w:rsid w:val="00046C46"/>
    <w:rsid w:val="00047367"/>
    <w:rsid w:val="00047573"/>
    <w:rsid w:val="00050848"/>
    <w:rsid w:val="00052CAA"/>
    <w:rsid w:val="00053286"/>
    <w:rsid w:val="00053C82"/>
    <w:rsid w:val="00055FE1"/>
    <w:rsid w:val="00057C54"/>
    <w:rsid w:val="0006228C"/>
    <w:rsid w:val="00062965"/>
    <w:rsid w:val="00064BE1"/>
    <w:rsid w:val="00065358"/>
    <w:rsid w:val="00067DE1"/>
    <w:rsid w:val="00070A33"/>
    <w:rsid w:val="00072028"/>
    <w:rsid w:val="00072D07"/>
    <w:rsid w:val="000734B8"/>
    <w:rsid w:val="00073DB6"/>
    <w:rsid w:val="00076B5E"/>
    <w:rsid w:val="0008077F"/>
    <w:rsid w:val="00080B4B"/>
    <w:rsid w:val="00080DE8"/>
    <w:rsid w:val="00081247"/>
    <w:rsid w:val="00083EB6"/>
    <w:rsid w:val="00084190"/>
    <w:rsid w:val="00084263"/>
    <w:rsid w:val="00084843"/>
    <w:rsid w:val="000864F2"/>
    <w:rsid w:val="00086D5D"/>
    <w:rsid w:val="00087742"/>
    <w:rsid w:val="0009106F"/>
    <w:rsid w:val="00091251"/>
    <w:rsid w:val="00092395"/>
    <w:rsid w:val="000937B6"/>
    <w:rsid w:val="00097C3E"/>
    <w:rsid w:val="000A0F81"/>
    <w:rsid w:val="000A1F32"/>
    <w:rsid w:val="000A34CC"/>
    <w:rsid w:val="000A3984"/>
    <w:rsid w:val="000A5260"/>
    <w:rsid w:val="000A61B9"/>
    <w:rsid w:val="000A7628"/>
    <w:rsid w:val="000B049B"/>
    <w:rsid w:val="000B071D"/>
    <w:rsid w:val="000B2790"/>
    <w:rsid w:val="000B3DC3"/>
    <w:rsid w:val="000B3EB0"/>
    <w:rsid w:val="000B4C57"/>
    <w:rsid w:val="000B6932"/>
    <w:rsid w:val="000C11E6"/>
    <w:rsid w:val="000C26E4"/>
    <w:rsid w:val="000C41D7"/>
    <w:rsid w:val="000C53F1"/>
    <w:rsid w:val="000D1DBC"/>
    <w:rsid w:val="000E0E2F"/>
    <w:rsid w:val="000E2053"/>
    <w:rsid w:val="000E2E64"/>
    <w:rsid w:val="000E47FE"/>
    <w:rsid w:val="000E51F8"/>
    <w:rsid w:val="000E6357"/>
    <w:rsid w:val="000E78A6"/>
    <w:rsid w:val="000F0CBB"/>
    <w:rsid w:val="000F0D80"/>
    <w:rsid w:val="000F0F55"/>
    <w:rsid w:val="000F1923"/>
    <w:rsid w:val="000F2778"/>
    <w:rsid w:val="000F3898"/>
    <w:rsid w:val="000F44F3"/>
    <w:rsid w:val="000F6C40"/>
    <w:rsid w:val="000F73F5"/>
    <w:rsid w:val="001011AD"/>
    <w:rsid w:val="00101543"/>
    <w:rsid w:val="00101D22"/>
    <w:rsid w:val="00102908"/>
    <w:rsid w:val="0010310F"/>
    <w:rsid w:val="001031AB"/>
    <w:rsid w:val="00107906"/>
    <w:rsid w:val="00107AA9"/>
    <w:rsid w:val="00110594"/>
    <w:rsid w:val="00112A14"/>
    <w:rsid w:val="00114A47"/>
    <w:rsid w:val="00115092"/>
    <w:rsid w:val="00116A67"/>
    <w:rsid w:val="00117DE5"/>
    <w:rsid w:val="00120BE7"/>
    <w:rsid w:val="0012507E"/>
    <w:rsid w:val="00126C54"/>
    <w:rsid w:val="00130CD2"/>
    <w:rsid w:val="001337A8"/>
    <w:rsid w:val="00134AF6"/>
    <w:rsid w:val="00137461"/>
    <w:rsid w:val="001406D0"/>
    <w:rsid w:val="0014491B"/>
    <w:rsid w:val="00144DA1"/>
    <w:rsid w:val="001457D5"/>
    <w:rsid w:val="00147387"/>
    <w:rsid w:val="0014739A"/>
    <w:rsid w:val="00151E7F"/>
    <w:rsid w:val="00152AFD"/>
    <w:rsid w:val="00153414"/>
    <w:rsid w:val="0015372B"/>
    <w:rsid w:val="00153E57"/>
    <w:rsid w:val="00154009"/>
    <w:rsid w:val="00156E5B"/>
    <w:rsid w:val="00157987"/>
    <w:rsid w:val="001600AD"/>
    <w:rsid w:val="0016133B"/>
    <w:rsid w:val="00161A58"/>
    <w:rsid w:val="001624BB"/>
    <w:rsid w:val="00164171"/>
    <w:rsid w:val="00166E8A"/>
    <w:rsid w:val="0016711B"/>
    <w:rsid w:val="001672EB"/>
    <w:rsid w:val="001700B4"/>
    <w:rsid w:val="0017395A"/>
    <w:rsid w:val="00173AAF"/>
    <w:rsid w:val="00176AEB"/>
    <w:rsid w:val="00177730"/>
    <w:rsid w:val="00181058"/>
    <w:rsid w:val="00181F4A"/>
    <w:rsid w:val="0018287A"/>
    <w:rsid w:val="00183D6C"/>
    <w:rsid w:val="00184CED"/>
    <w:rsid w:val="00185AF0"/>
    <w:rsid w:val="00185F09"/>
    <w:rsid w:val="001865BC"/>
    <w:rsid w:val="00186CFB"/>
    <w:rsid w:val="00190F59"/>
    <w:rsid w:val="001911D4"/>
    <w:rsid w:val="0019126E"/>
    <w:rsid w:val="0019240B"/>
    <w:rsid w:val="00195D63"/>
    <w:rsid w:val="00197146"/>
    <w:rsid w:val="00197608"/>
    <w:rsid w:val="00197CC4"/>
    <w:rsid w:val="001A0895"/>
    <w:rsid w:val="001A0981"/>
    <w:rsid w:val="001A128B"/>
    <w:rsid w:val="001A1C44"/>
    <w:rsid w:val="001A24E6"/>
    <w:rsid w:val="001A5B34"/>
    <w:rsid w:val="001A704A"/>
    <w:rsid w:val="001A724E"/>
    <w:rsid w:val="001A72E0"/>
    <w:rsid w:val="001B1064"/>
    <w:rsid w:val="001B3DFB"/>
    <w:rsid w:val="001B499D"/>
    <w:rsid w:val="001B58C4"/>
    <w:rsid w:val="001B6979"/>
    <w:rsid w:val="001B6E85"/>
    <w:rsid w:val="001C1046"/>
    <w:rsid w:val="001C134F"/>
    <w:rsid w:val="001C1BCC"/>
    <w:rsid w:val="001C1C47"/>
    <w:rsid w:val="001C24E2"/>
    <w:rsid w:val="001C37B2"/>
    <w:rsid w:val="001C4351"/>
    <w:rsid w:val="001C5C54"/>
    <w:rsid w:val="001C7974"/>
    <w:rsid w:val="001D0869"/>
    <w:rsid w:val="001D1773"/>
    <w:rsid w:val="001D1F91"/>
    <w:rsid w:val="001D3AF8"/>
    <w:rsid w:val="001D4B58"/>
    <w:rsid w:val="001D60C1"/>
    <w:rsid w:val="001E1B96"/>
    <w:rsid w:val="001E43B8"/>
    <w:rsid w:val="001E746B"/>
    <w:rsid w:val="001E7A16"/>
    <w:rsid w:val="001E7B94"/>
    <w:rsid w:val="001F0FAD"/>
    <w:rsid w:val="001F2630"/>
    <w:rsid w:val="001F32F9"/>
    <w:rsid w:val="001F37C6"/>
    <w:rsid w:val="001F3CA9"/>
    <w:rsid w:val="001F48F6"/>
    <w:rsid w:val="001F4F36"/>
    <w:rsid w:val="00201390"/>
    <w:rsid w:val="0020390C"/>
    <w:rsid w:val="00204579"/>
    <w:rsid w:val="0020515A"/>
    <w:rsid w:val="0020548E"/>
    <w:rsid w:val="0020731E"/>
    <w:rsid w:val="00211111"/>
    <w:rsid w:val="00214C78"/>
    <w:rsid w:val="00216829"/>
    <w:rsid w:val="0021778A"/>
    <w:rsid w:val="0022151D"/>
    <w:rsid w:val="002215F4"/>
    <w:rsid w:val="00222281"/>
    <w:rsid w:val="00223A7A"/>
    <w:rsid w:val="00224430"/>
    <w:rsid w:val="00226F24"/>
    <w:rsid w:val="002303DA"/>
    <w:rsid w:val="002307F2"/>
    <w:rsid w:val="00231254"/>
    <w:rsid w:val="002356E1"/>
    <w:rsid w:val="0023604A"/>
    <w:rsid w:val="0023646A"/>
    <w:rsid w:val="00236933"/>
    <w:rsid w:val="00237A0F"/>
    <w:rsid w:val="0024029A"/>
    <w:rsid w:val="00240BBD"/>
    <w:rsid w:val="00240EDA"/>
    <w:rsid w:val="00242C66"/>
    <w:rsid w:val="00242EF5"/>
    <w:rsid w:val="00243C68"/>
    <w:rsid w:val="00243F75"/>
    <w:rsid w:val="00245121"/>
    <w:rsid w:val="002456DD"/>
    <w:rsid w:val="00247B06"/>
    <w:rsid w:val="002519F2"/>
    <w:rsid w:val="00251B28"/>
    <w:rsid w:val="00252DEA"/>
    <w:rsid w:val="002532A3"/>
    <w:rsid w:val="002535C7"/>
    <w:rsid w:val="002537ED"/>
    <w:rsid w:val="00253D19"/>
    <w:rsid w:val="0025419A"/>
    <w:rsid w:val="00254A4B"/>
    <w:rsid w:val="002563AD"/>
    <w:rsid w:val="00256EBF"/>
    <w:rsid w:val="0026019F"/>
    <w:rsid w:val="00260747"/>
    <w:rsid w:val="00262A3A"/>
    <w:rsid w:val="0026430F"/>
    <w:rsid w:val="0026590E"/>
    <w:rsid w:val="002662B2"/>
    <w:rsid w:val="00271647"/>
    <w:rsid w:val="00271CD7"/>
    <w:rsid w:val="0027396E"/>
    <w:rsid w:val="00274843"/>
    <w:rsid w:val="00276D42"/>
    <w:rsid w:val="002772FE"/>
    <w:rsid w:val="00280115"/>
    <w:rsid w:val="002805A9"/>
    <w:rsid w:val="002808F0"/>
    <w:rsid w:val="002826AA"/>
    <w:rsid w:val="00283045"/>
    <w:rsid w:val="0028309C"/>
    <w:rsid w:val="0028352F"/>
    <w:rsid w:val="00283D51"/>
    <w:rsid w:val="00284525"/>
    <w:rsid w:val="0028573C"/>
    <w:rsid w:val="00285BA6"/>
    <w:rsid w:val="00285D1E"/>
    <w:rsid w:val="002872D9"/>
    <w:rsid w:val="00287A02"/>
    <w:rsid w:val="00291A8E"/>
    <w:rsid w:val="00294149"/>
    <w:rsid w:val="00294303"/>
    <w:rsid w:val="002970F8"/>
    <w:rsid w:val="002A0DB2"/>
    <w:rsid w:val="002A1C8F"/>
    <w:rsid w:val="002A20D5"/>
    <w:rsid w:val="002A394B"/>
    <w:rsid w:val="002A39F2"/>
    <w:rsid w:val="002A4531"/>
    <w:rsid w:val="002A5228"/>
    <w:rsid w:val="002A7787"/>
    <w:rsid w:val="002B0620"/>
    <w:rsid w:val="002B3B87"/>
    <w:rsid w:val="002B4EF8"/>
    <w:rsid w:val="002B5553"/>
    <w:rsid w:val="002B7147"/>
    <w:rsid w:val="002B7801"/>
    <w:rsid w:val="002C0FEC"/>
    <w:rsid w:val="002C1101"/>
    <w:rsid w:val="002C3CF2"/>
    <w:rsid w:val="002C3F5F"/>
    <w:rsid w:val="002C4864"/>
    <w:rsid w:val="002C4BA0"/>
    <w:rsid w:val="002C56DE"/>
    <w:rsid w:val="002C62D9"/>
    <w:rsid w:val="002C66AF"/>
    <w:rsid w:val="002C7058"/>
    <w:rsid w:val="002C70AB"/>
    <w:rsid w:val="002D0B2F"/>
    <w:rsid w:val="002D11FA"/>
    <w:rsid w:val="002D20F2"/>
    <w:rsid w:val="002D2EE9"/>
    <w:rsid w:val="002D4226"/>
    <w:rsid w:val="002D4C68"/>
    <w:rsid w:val="002D5137"/>
    <w:rsid w:val="002D6A95"/>
    <w:rsid w:val="002D754C"/>
    <w:rsid w:val="002D7854"/>
    <w:rsid w:val="002E012F"/>
    <w:rsid w:val="002E046E"/>
    <w:rsid w:val="002E0C7D"/>
    <w:rsid w:val="002E2468"/>
    <w:rsid w:val="002E2747"/>
    <w:rsid w:val="002E315E"/>
    <w:rsid w:val="002E3739"/>
    <w:rsid w:val="002E453C"/>
    <w:rsid w:val="002E474C"/>
    <w:rsid w:val="002E562C"/>
    <w:rsid w:val="002E684C"/>
    <w:rsid w:val="002E71C2"/>
    <w:rsid w:val="002F010E"/>
    <w:rsid w:val="002F3698"/>
    <w:rsid w:val="002F42A8"/>
    <w:rsid w:val="002F4F85"/>
    <w:rsid w:val="002F5DF7"/>
    <w:rsid w:val="002F6719"/>
    <w:rsid w:val="002F676C"/>
    <w:rsid w:val="002F6A53"/>
    <w:rsid w:val="002F6CC8"/>
    <w:rsid w:val="002F7AA4"/>
    <w:rsid w:val="00300CED"/>
    <w:rsid w:val="00300FD4"/>
    <w:rsid w:val="00301D6C"/>
    <w:rsid w:val="00302155"/>
    <w:rsid w:val="0030782F"/>
    <w:rsid w:val="00310F2B"/>
    <w:rsid w:val="00311243"/>
    <w:rsid w:val="00312DFE"/>
    <w:rsid w:val="00313655"/>
    <w:rsid w:val="003169FF"/>
    <w:rsid w:val="00316C36"/>
    <w:rsid w:val="00320379"/>
    <w:rsid w:val="00322ED7"/>
    <w:rsid w:val="00323485"/>
    <w:rsid w:val="00323B4C"/>
    <w:rsid w:val="00323C29"/>
    <w:rsid w:val="0032477C"/>
    <w:rsid w:val="00324C14"/>
    <w:rsid w:val="00325BBE"/>
    <w:rsid w:val="00327614"/>
    <w:rsid w:val="003276BE"/>
    <w:rsid w:val="0033041D"/>
    <w:rsid w:val="00330D82"/>
    <w:rsid w:val="00333E0E"/>
    <w:rsid w:val="003361BC"/>
    <w:rsid w:val="00336570"/>
    <w:rsid w:val="003365BD"/>
    <w:rsid w:val="003409BE"/>
    <w:rsid w:val="00341C3A"/>
    <w:rsid w:val="003432FD"/>
    <w:rsid w:val="003447C7"/>
    <w:rsid w:val="00345A88"/>
    <w:rsid w:val="00346C66"/>
    <w:rsid w:val="00351242"/>
    <w:rsid w:val="003518BF"/>
    <w:rsid w:val="00353246"/>
    <w:rsid w:val="00353526"/>
    <w:rsid w:val="003541B7"/>
    <w:rsid w:val="00354607"/>
    <w:rsid w:val="0035586F"/>
    <w:rsid w:val="00355EA4"/>
    <w:rsid w:val="00356A74"/>
    <w:rsid w:val="00356E19"/>
    <w:rsid w:val="00357588"/>
    <w:rsid w:val="00362C92"/>
    <w:rsid w:val="00363596"/>
    <w:rsid w:val="00364958"/>
    <w:rsid w:val="00366580"/>
    <w:rsid w:val="00366A86"/>
    <w:rsid w:val="003702F8"/>
    <w:rsid w:val="00371516"/>
    <w:rsid w:val="00371BD8"/>
    <w:rsid w:val="00371DA4"/>
    <w:rsid w:val="003736F4"/>
    <w:rsid w:val="00376CB3"/>
    <w:rsid w:val="00377B0E"/>
    <w:rsid w:val="00377B26"/>
    <w:rsid w:val="003809C1"/>
    <w:rsid w:val="003815C7"/>
    <w:rsid w:val="003815E8"/>
    <w:rsid w:val="00381BB0"/>
    <w:rsid w:val="0038600F"/>
    <w:rsid w:val="00386B00"/>
    <w:rsid w:val="00387B85"/>
    <w:rsid w:val="00391A0D"/>
    <w:rsid w:val="00392467"/>
    <w:rsid w:val="0039280B"/>
    <w:rsid w:val="003938B7"/>
    <w:rsid w:val="00394B26"/>
    <w:rsid w:val="003951F3"/>
    <w:rsid w:val="00396CF4"/>
    <w:rsid w:val="00396D20"/>
    <w:rsid w:val="0039764D"/>
    <w:rsid w:val="003A0354"/>
    <w:rsid w:val="003A1119"/>
    <w:rsid w:val="003A5DE1"/>
    <w:rsid w:val="003A7420"/>
    <w:rsid w:val="003A78F6"/>
    <w:rsid w:val="003B01E1"/>
    <w:rsid w:val="003B0CDE"/>
    <w:rsid w:val="003B12FC"/>
    <w:rsid w:val="003B47E6"/>
    <w:rsid w:val="003B50FA"/>
    <w:rsid w:val="003B6221"/>
    <w:rsid w:val="003B6B9B"/>
    <w:rsid w:val="003B6DA5"/>
    <w:rsid w:val="003B76B1"/>
    <w:rsid w:val="003B78B8"/>
    <w:rsid w:val="003C3B3D"/>
    <w:rsid w:val="003C4373"/>
    <w:rsid w:val="003C6245"/>
    <w:rsid w:val="003C7824"/>
    <w:rsid w:val="003C7B14"/>
    <w:rsid w:val="003C7BB3"/>
    <w:rsid w:val="003D0476"/>
    <w:rsid w:val="003D0707"/>
    <w:rsid w:val="003D0FBE"/>
    <w:rsid w:val="003D1872"/>
    <w:rsid w:val="003D1E99"/>
    <w:rsid w:val="003D26CD"/>
    <w:rsid w:val="003D3BA5"/>
    <w:rsid w:val="003D72BA"/>
    <w:rsid w:val="003D7356"/>
    <w:rsid w:val="003E1B40"/>
    <w:rsid w:val="003E20A1"/>
    <w:rsid w:val="003E2CCF"/>
    <w:rsid w:val="003E5448"/>
    <w:rsid w:val="003F1557"/>
    <w:rsid w:val="003F15B5"/>
    <w:rsid w:val="003F3009"/>
    <w:rsid w:val="003F3089"/>
    <w:rsid w:val="003F3D2C"/>
    <w:rsid w:val="003F40B4"/>
    <w:rsid w:val="003F45B7"/>
    <w:rsid w:val="003F4B0E"/>
    <w:rsid w:val="003F5DD0"/>
    <w:rsid w:val="003F7737"/>
    <w:rsid w:val="003F7B0E"/>
    <w:rsid w:val="003F7D5B"/>
    <w:rsid w:val="0040002C"/>
    <w:rsid w:val="004000DB"/>
    <w:rsid w:val="00402516"/>
    <w:rsid w:val="00402608"/>
    <w:rsid w:val="00404412"/>
    <w:rsid w:val="00404AAF"/>
    <w:rsid w:val="0040533A"/>
    <w:rsid w:val="00405514"/>
    <w:rsid w:val="00405B75"/>
    <w:rsid w:val="0040658F"/>
    <w:rsid w:val="00406D89"/>
    <w:rsid w:val="004100D1"/>
    <w:rsid w:val="0041140B"/>
    <w:rsid w:val="0041186A"/>
    <w:rsid w:val="00411F1C"/>
    <w:rsid w:val="004122CF"/>
    <w:rsid w:val="00414A10"/>
    <w:rsid w:val="00416DC4"/>
    <w:rsid w:val="00420BB1"/>
    <w:rsid w:val="0042297F"/>
    <w:rsid w:val="0042310F"/>
    <w:rsid w:val="00423677"/>
    <w:rsid w:val="00425BD5"/>
    <w:rsid w:val="00426D93"/>
    <w:rsid w:val="00430332"/>
    <w:rsid w:val="00432A64"/>
    <w:rsid w:val="00432A8B"/>
    <w:rsid w:val="004402AB"/>
    <w:rsid w:val="0044123B"/>
    <w:rsid w:val="0044377D"/>
    <w:rsid w:val="00443AC6"/>
    <w:rsid w:val="00444220"/>
    <w:rsid w:val="00445A98"/>
    <w:rsid w:val="0044665D"/>
    <w:rsid w:val="004475E8"/>
    <w:rsid w:val="00450906"/>
    <w:rsid w:val="00452010"/>
    <w:rsid w:val="0045275A"/>
    <w:rsid w:val="004528C7"/>
    <w:rsid w:val="00453745"/>
    <w:rsid w:val="00454732"/>
    <w:rsid w:val="00454EBB"/>
    <w:rsid w:val="0045547C"/>
    <w:rsid w:val="004559D6"/>
    <w:rsid w:val="004561C9"/>
    <w:rsid w:val="00456D28"/>
    <w:rsid w:val="004578E3"/>
    <w:rsid w:val="004602D2"/>
    <w:rsid w:val="0046085A"/>
    <w:rsid w:val="00461715"/>
    <w:rsid w:val="00463297"/>
    <w:rsid w:val="0046359E"/>
    <w:rsid w:val="004654F9"/>
    <w:rsid w:val="00467302"/>
    <w:rsid w:val="00472487"/>
    <w:rsid w:val="00472B84"/>
    <w:rsid w:val="004748A3"/>
    <w:rsid w:val="00474C59"/>
    <w:rsid w:val="00477ADE"/>
    <w:rsid w:val="004804B5"/>
    <w:rsid w:val="004818AE"/>
    <w:rsid w:val="00481BD9"/>
    <w:rsid w:val="004852AC"/>
    <w:rsid w:val="004857E0"/>
    <w:rsid w:val="004857F5"/>
    <w:rsid w:val="00490C7F"/>
    <w:rsid w:val="004912A6"/>
    <w:rsid w:val="00491D13"/>
    <w:rsid w:val="00496C8B"/>
    <w:rsid w:val="00496F4E"/>
    <w:rsid w:val="004A23A3"/>
    <w:rsid w:val="004A4139"/>
    <w:rsid w:val="004A6C16"/>
    <w:rsid w:val="004B02F9"/>
    <w:rsid w:val="004B345B"/>
    <w:rsid w:val="004B36E0"/>
    <w:rsid w:val="004B4083"/>
    <w:rsid w:val="004B4C0C"/>
    <w:rsid w:val="004B5B38"/>
    <w:rsid w:val="004B6A04"/>
    <w:rsid w:val="004C1759"/>
    <w:rsid w:val="004C1F5D"/>
    <w:rsid w:val="004C2B92"/>
    <w:rsid w:val="004C43CD"/>
    <w:rsid w:val="004C4816"/>
    <w:rsid w:val="004C49A4"/>
    <w:rsid w:val="004C4DE9"/>
    <w:rsid w:val="004C5239"/>
    <w:rsid w:val="004D1CA1"/>
    <w:rsid w:val="004D238C"/>
    <w:rsid w:val="004D2AA3"/>
    <w:rsid w:val="004D3C23"/>
    <w:rsid w:val="004D3C54"/>
    <w:rsid w:val="004D3D50"/>
    <w:rsid w:val="004D410C"/>
    <w:rsid w:val="004D58F4"/>
    <w:rsid w:val="004D6626"/>
    <w:rsid w:val="004E0FE3"/>
    <w:rsid w:val="004E1630"/>
    <w:rsid w:val="004E37E9"/>
    <w:rsid w:val="004E447E"/>
    <w:rsid w:val="004E4A30"/>
    <w:rsid w:val="004E4E6D"/>
    <w:rsid w:val="004E5E14"/>
    <w:rsid w:val="004E6DAB"/>
    <w:rsid w:val="004E6DB1"/>
    <w:rsid w:val="004F02D2"/>
    <w:rsid w:val="004F09C3"/>
    <w:rsid w:val="004F0E8F"/>
    <w:rsid w:val="004F30A7"/>
    <w:rsid w:val="004F6E32"/>
    <w:rsid w:val="00504592"/>
    <w:rsid w:val="00506387"/>
    <w:rsid w:val="00506B1D"/>
    <w:rsid w:val="005073F8"/>
    <w:rsid w:val="00513B58"/>
    <w:rsid w:val="0051443C"/>
    <w:rsid w:val="00514572"/>
    <w:rsid w:val="00514DBE"/>
    <w:rsid w:val="00514F86"/>
    <w:rsid w:val="005152C2"/>
    <w:rsid w:val="005210F1"/>
    <w:rsid w:val="00522681"/>
    <w:rsid w:val="0052435C"/>
    <w:rsid w:val="005271F4"/>
    <w:rsid w:val="005275D8"/>
    <w:rsid w:val="00527802"/>
    <w:rsid w:val="005306FB"/>
    <w:rsid w:val="00531202"/>
    <w:rsid w:val="00532291"/>
    <w:rsid w:val="00532ACB"/>
    <w:rsid w:val="005338FA"/>
    <w:rsid w:val="0053442D"/>
    <w:rsid w:val="0053706C"/>
    <w:rsid w:val="0053740B"/>
    <w:rsid w:val="0054119C"/>
    <w:rsid w:val="005419A6"/>
    <w:rsid w:val="005421E0"/>
    <w:rsid w:val="00542F46"/>
    <w:rsid w:val="00544023"/>
    <w:rsid w:val="00545A82"/>
    <w:rsid w:val="00551C1F"/>
    <w:rsid w:val="005528AC"/>
    <w:rsid w:val="00553B20"/>
    <w:rsid w:val="00555CCB"/>
    <w:rsid w:val="00555E00"/>
    <w:rsid w:val="0055749A"/>
    <w:rsid w:val="005616B5"/>
    <w:rsid w:val="005632CD"/>
    <w:rsid w:val="0056377D"/>
    <w:rsid w:val="0056380D"/>
    <w:rsid w:val="005645BF"/>
    <w:rsid w:val="005648D6"/>
    <w:rsid w:val="00567490"/>
    <w:rsid w:val="005723F4"/>
    <w:rsid w:val="00574069"/>
    <w:rsid w:val="00574CF1"/>
    <w:rsid w:val="005767C9"/>
    <w:rsid w:val="00576CC1"/>
    <w:rsid w:val="00581F0B"/>
    <w:rsid w:val="00582FA8"/>
    <w:rsid w:val="00584318"/>
    <w:rsid w:val="0058512C"/>
    <w:rsid w:val="00587381"/>
    <w:rsid w:val="00587798"/>
    <w:rsid w:val="00590305"/>
    <w:rsid w:val="00592BF9"/>
    <w:rsid w:val="0059526C"/>
    <w:rsid w:val="0059666D"/>
    <w:rsid w:val="00597A0A"/>
    <w:rsid w:val="00597BAE"/>
    <w:rsid w:val="00597BBC"/>
    <w:rsid w:val="005A0328"/>
    <w:rsid w:val="005A1898"/>
    <w:rsid w:val="005A1AB0"/>
    <w:rsid w:val="005A20B6"/>
    <w:rsid w:val="005A27B4"/>
    <w:rsid w:val="005A52EB"/>
    <w:rsid w:val="005A621F"/>
    <w:rsid w:val="005A6DD1"/>
    <w:rsid w:val="005A77DD"/>
    <w:rsid w:val="005A7837"/>
    <w:rsid w:val="005B015A"/>
    <w:rsid w:val="005B0379"/>
    <w:rsid w:val="005B2CE0"/>
    <w:rsid w:val="005B38D1"/>
    <w:rsid w:val="005B4AB9"/>
    <w:rsid w:val="005B4AEB"/>
    <w:rsid w:val="005B4CA2"/>
    <w:rsid w:val="005B75BE"/>
    <w:rsid w:val="005B771C"/>
    <w:rsid w:val="005B7856"/>
    <w:rsid w:val="005B7D0E"/>
    <w:rsid w:val="005C2372"/>
    <w:rsid w:val="005C629D"/>
    <w:rsid w:val="005C66B4"/>
    <w:rsid w:val="005C796B"/>
    <w:rsid w:val="005D040D"/>
    <w:rsid w:val="005D069F"/>
    <w:rsid w:val="005D5654"/>
    <w:rsid w:val="005D5856"/>
    <w:rsid w:val="005D5949"/>
    <w:rsid w:val="005D5DE6"/>
    <w:rsid w:val="005D657D"/>
    <w:rsid w:val="005E0E39"/>
    <w:rsid w:val="005E30A8"/>
    <w:rsid w:val="005E392D"/>
    <w:rsid w:val="005E5A40"/>
    <w:rsid w:val="005E67C7"/>
    <w:rsid w:val="005E789F"/>
    <w:rsid w:val="005E79A4"/>
    <w:rsid w:val="005E79BC"/>
    <w:rsid w:val="005E7A8A"/>
    <w:rsid w:val="005F16D9"/>
    <w:rsid w:val="005F2DAA"/>
    <w:rsid w:val="005F4611"/>
    <w:rsid w:val="00601CE3"/>
    <w:rsid w:val="006023C7"/>
    <w:rsid w:val="0060420D"/>
    <w:rsid w:val="00604BF5"/>
    <w:rsid w:val="00604C48"/>
    <w:rsid w:val="00604FB7"/>
    <w:rsid w:val="0060595D"/>
    <w:rsid w:val="00606EFD"/>
    <w:rsid w:val="00607A59"/>
    <w:rsid w:val="0061080A"/>
    <w:rsid w:val="0061120D"/>
    <w:rsid w:val="006116F8"/>
    <w:rsid w:val="00612D19"/>
    <w:rsid w:val="0061309C"/>
    <w:rsid w:val="006143EB"/>
    <w:rsid w:val="006144C7"/>
    <w:rsid w:val="0061452A"/>
    <w:rsid w:val="006145B3"/>
    <w:rsid w:val="0061529A"/>
    <w:rsid w:val="00615940"/>
    <w:rsid w:val="00616426"/>
    <w:rsid w:val="00616E7D"/>
    <w:rsid w:val="00620768"/>
    <w:rsid w:val="00620A7A"/>
    <w:rsid w:val="00621080"/>
    <w:rsid w:val="0063080F"/>
    <w:rsid w:val="00634D20"/>
    <w:rsid w:val="006353F4"/>
    <w:rsid w:val="006357B8"/>
    <w:rsid w:val="0063681A"/>
    <w:rsid w:val="00636FE3"/>
    <w:rsid w:val="006379B5"/>
    <w:rsid w:val="006404F1"/>
    <w:rsid w:val="00641245"/>
    <w:rsid w:val="00643C43"/>
    <w:rsid w:val="00644A99"/>
    <w:rsid w:val="00644C66"/>
    <w:rsid w:val="00644F9F"/>
    <w:rsid w:val="00645323"/>
    <w:rsid w:val="006457E8"/>
    <w:rsid w:val="00653537"/>
    <w:rsid w:val="006537C8"/>
    <w:rsid w:val="00656306"/>
    <w:rsid w:val="006571A7"/>
    <w:rsid w:val="0066063B"/>
    <w:rsid w:val="0066360F"/>
    <w:rsid w:val="00666A87"/>
    <w:rsid w:val="00666A98"/>
    <w:rsid w:val="00667BD4"/>
    <w:rsid w:val="00670D14"/>
    <w:rsid w:val="0067136D"/>
    <w:rsid w:val="00674895"/>
    <w:rsid w:val="006748DD"/>
    <w:rsid w:val="006758E1"/>
    <w:rsid w:val="0068014B"/>
    <w:rsid w:val="0068115A"/>
    <w:rsid w:val="00681489"/>
    <w:rsid w:val="00681B97"/>
    <w:rsid w:val="00681B99"/>
    <w:rsid w:val="00683281"/>
    <w:rsid w:val="00683829"/>
    <w:rsid w:val="00683C6C"/>
    <w:rsid w:val="006875FC"/>
    <w:rsid w:val="00692AD3"/>
    <w:rsid w:val="00693530"/>
    <w:rsid w:val="006945CF"/>
    <w:rsid w:val="0069589D"/>
    <w:rsid w:val="0069633A"/>
    <w:rsid w:val="006968B4"/>
    <w:rsid w:val="00697692"/>
    <w:rsid w:val="00697874"/>
    <w:rsid w:val="006A00C1"/>
    <w:rsid w:val="006A111E"/>
    <w:rsid w:val="006A21E2"/>
    <w:rsid w:val="006A3174"/>
    <w:rsid w:val="006A721D"/>
    <w:rsid w:val="006B0277"/>
    <w:rsid w:val="006B0483"/>
    <w:rsid w:val="006B16E3"/>
    <w:rsid w:val="006B311B"/>
    <w:rsid w:val="006B460F"/>
    <w:rsid w:val="006B6DAD"/>
    <w:rsid w:val="006C3D67"/>
    <w:rsid w:val="006C60ED"/>
    <w:rsid w:val="006C6260"/>
    <w:rsid w:val="006D1153"/>
    <w:rsid w:val="006D2E62"/>
    <w:rsid w:val="006D2EE7"/>
    <w:rsid w:val="006D2FFF"/>
    <w:rsid w:val="006D3A96"/>
    <w:rsid w:val="006D5696"/>
    <w:rsid w:val="006D5A20"/>
    <w:rsid w:val="006D7721"/>
    <w:rsid w:val="006E0B20"/>
    <w:rsid w:val="006E0C5D"/>
    <w:rsid w:val="006E25FD"/>
    <w:rsid w:val="006E270C"/>
    <w:rsid w:val="006E2C1E"/>
    <w:rsid w:val="006E38BA"/>
    <w:rsid w:val="006E3B53"/>
    <w:rsid w:val="006E3C53"/>
    <w:rsid w:val="006E47C4"/>
    <w:rsid w:val="006E494B"/>
    <w:rsid w:val="006E574B"/>
    <w:rsid w:val="006E5D30"/>
    <w:rsid w:val="006E6F12"/>
    <w:rsid w:val="006E7798"/>
    <w:rsid w:val="006E7C12"/>
    <w:rsid w:val="006E7E25"/>
    <w:rsid w:val="006F0C30"/>
    <w:rsid w:val="006F120E"/>
    <w:rsid w:val="006F1887"/>
    <w:rsid w:val="006F1AA6"/>
    <w:rsid w:val="006F4969"/>
    <w:rsid w:val="006F513A"/>
    <w:rsid w:val="006F539E"/>
    <w:rsid w:val="006F6272"/>
    <w:rsid w:val="006F6B84"/>
    <w:rsid w:val="006F76FE"/>
    <w:rsid w:val="00700249"/>
    <w:rsid w:val="00702009"/>
    <w:rsid w:val="007022FE"/>
    <w:rsid w:val="00702892"/>
    <w:rsid w:val="00703E9D"/>
    <w:rsid w:val="00704BE9"/>
    <w:rsid w:val="00704D58"/>
    <w:rsid w:val="0071064B"/>
    <w:rsid w:val="00710717"/>
    <w:rsid w:val="007155EB"/>
    <w:rsid w:val="007161E6"/>
    <w:rsid w:val="00716870"/>
    <w:rsid w:val="00716CBA"/>
    <w:rsid w:val="00721485"/>
    <w:rsid w:val="0072174A"/>
    <w:rsid w:val="00723E40"/>
    <w:rsid w:val="007255C0"/>
    <w:rsid w:val="00726174"/>
    <w:rsid w:val="007323CD"/>
    <w:rsid w:val="00732CFA"/>
    <w:rsid w:val="00732CFF"/>
    <w:rsid w:val="0073362E"/>
    <w:rsid w:val="007347A6"/>
    <w:rsid w:val="00734989"/>
    <w:rsid w:val="00734C5B"/>
    <w:rsid w:val="007364FB"/>
    <w:rsid w:val="00737201"/>
    <w:rsid w:val="007404BE"/>
    <w:rsid w:val="00742A32"/>
    <w:rsid w:val="00745410"/>
    <w:rsid w:val="007458B6"/>
    <w:rsid w:val="00745906"/>
    <w:rsid w:val="0074668B"/>
    <w:rsid w:val="007466FE"/>
    <w:rsid w:val="0074723C"/>
    <w:rsid w:val="007506D8"/>
    <w:rsid w:val="00750BB7"/>
    <w:rsid w:val="00751BA8"/>
    <w:rsid w:val="00752AAE"/>
    <w:rsid w:val="0075306F"/>
    <w:rsid w:val="00754E93"/>
    <w:rsid w:val="00757F70"/>
    <w:rsid w:val="00761BA2"/>
    <w:rsid w:val="00761C3C"/>
    <w:rsid w:val="007623CF"/>
    <w:rsid w:val="007639A7"/>
    <w:rsid w:val="00763CD6"/>
    <w:rsid w:val="0076469A"/>
    <w:rsid w:val="00765126"/>
    <w:rsid w:val="00765C03"/>
    <w:rsid w:val="00765FA9"/>
    <w:rsid w:val="00771C26"/>
    <w:rsid w:val="00772371"/>
    <w:rsid w:val="00773739"/>
    <w:rsid w:val="00773E81"/>
    <w:rsid w:val="0077454A"/>
    <w:rsid w:val="00774F15"/>
    <w:rsid w:val="00775143"/>
    <w:rsid w:val="00776B01"/>
    <w:rsid w:val="007779E7"/>
    <w:rsid w:val="007803C6"/>
    <w:rsid w:val="00782C07"/>
    <w:rsid w:val="00783D67"/>
    <w:rsid w:val="0078542D"/>
    <w:rsid w:val="00785794"/>
    <w:rsid w:val="00786C53"/>
    <w:rsid w:val="00786F85"/>
    <w:rsid w:val="007910B2"/>
    <w:rsid w:val="007913F8"/>
    <w:rsid w:val="00791DFF"/>
    <w:rsid w:val="00792447"/>
    <w:rsid w:val="007935CB"/>
    <w:rsid w:val="007A098C"/>
    <w:rsid w:val="007A39BB"/>
    <w:rsid w:val="007A420D"/>
    <w:rsid w:val="007A45EC"/>
    <w:rsid w:val="007A5155"/>
    <w:rsid w:val="007A5FD1"/>
    <w:rsid w:val="007A60FD"/>
    <w:rsid w:val="007A6128"/>
    <w:rsid w:val="007A61FC"/>
    <w:rsid w:val="007B025C"/>
    <w:rsid w:val="007B0610"/>
    <w:rsid w:val="007B0C2F"/>
    <w:rsid w:val="007B115D"/>
    <w:rsid w:val="007B41D1"/>
    <w:rsid w:val="007B63C4"/>
    <w:rsid w:val="007B72D9"/>
    <w:rsid w:val="007C1317"/>
    <w:rsid w:val="007C1A36"/>
    <w:rsid w:val="007C45CC"/>
    <w:rsid w:val="007C4683"/>
    <w:rsid w:val="007C4836"/>
    <w:rsid w:val="007C6196"/>
    <w:rsid w:val="007D00BB"/>
    <w:rsid w:val="007D3473"/>
    <w:rsid w:val="007D37F7"/>
    <w:rsid w:val="007D5727"/>
    <w:rsid w:val="007E2886"/>
    <w:rsid w:val="007E39EB"/>
    <w:rsid w:val="007E563B"/>
    <w:rsid w:val="007E5CDB"/>
    <w:rsid w:val="007F03C6"/>
    <w:rsid w:val="007F1CF7"/>
    <w:rsid w:val="007F1E35"/>
    <w:rsid w:val="007F4951"/>
    <w:rsid w:val="007F6066"/>
    <w:rsid w:val="0080189C"/>
    <w:rsid w:val="00802C7C"/>
    <w:rsid w:val="00803FF7"/>
    <w:rsid w:val="00805B9E"/>
    <w:rsid w:val="0080656A"/>
    <w:rsid w:val="008111A6"/>
    <w:rsid w:val="00812163"/>
    <w:rsid w:val="00812ED7"/>
    <w:rsid w:val="00814EEC"/>
    <w:rsid w:val="00815B7F"/>
    <w:rsid w:val="00816E5D"/>
    <w:rsid w:val="008175C2"/>
    <w:rsid w:val="00820078"/>
    <w:rsid w:val="00822DB5"/>
    <w:rsid w:val="00823966"/>
    <w:rsid w:val="00823AAC"/>
    <w:rsid w:val="00827534"/>
    <w:rsid w:val="00827863"/>
    <w:rsid w:val="00827F92"/>
    <w:rsid w:val="00830288"/>
    <w:rsid w:val="008314CE"/>
    <w:rsid w:val="00832025"/>
    <w:rsid w:val="00832681"/>
    <w:rsid w:val="008333D4"/>
    <w:rsid w:val="00836892"/>
    <w:rsid w:val="00836D5D"/>
    <w:rsid w:val="00841737"/>
    <w:rsid w:val="00841ACA"/>
    <w:rsid w:val="00841DF6"/>
    <w:rsid w:val="0084231D"/>
    <w:rsid w:val="00842AB5"/>
    <w:rsid w:val="00843D73"/>
    <w:rsid w:val="00844263"/>
    <w:rsid w:val="008446A8"/>
    <w:rsid w:val="00844DFE"/>
    <w:rsid w:val="00845C15"/>
    <w:rsid w:val="00845CE8"/>
    <w:rsid w:val="008477B9"/>
    <w:rsid w:val="00850A55"/>
    <w:rsid w:val="00850AD0"/>
    <w:rsid w:val="008512B3"/>
    <w:rsid w:val="0085135D"/>
    <w:rsid w:val="00851E6B"/>
    <w:rsid w:val="00851FFE"/>
    <w:rsid w:val="00852945"/>
    <w:rsid w:val="00853FFB"/>
    <w:rsid w:val="0085633E"/>
    <w:rsid w:val="00857106"/>
    <w:rsid w:val="00860922"/>
    <w:rsid w:val="008610EC"/>
    <w:rsid w:val="00865612"/>
    <w:rsid w:val="00865B59"/>
    <w:rsid w:val="00870240"/>
    <w:rsid w:val="00872892"/>
    <w:rsid w:val="00873C05"/>
    <w:rsid w:val="008747CA"/>
    <w:rsid w:val="0087548B"/>
    <w:rsid w:val="00880B15"/>
    <w:rsid w:val="00881AF3"/>
    <w:rsid w:val="00881D4D"/>
    <w:rsid w:val="00884C27"/>
    <w:rsid w:val="008856AC"/>
    <w:rsid w:val="00890442"/>
    <w:rsid w:val="00890DD6"/>
    <w:rsid w:val="0089713A"/>
    <w:rsid w:val="0089730B"/>
    <w:rsid w:val="00897D19"/>
    <w:rsid w:val="008A0B6B"/>
    <w:rsid w:val="008A0D9B"/>
    <w:rsid w:val="008A2279"/>
    <w:rsid w:val="008A3C03"/>
    <w:rsid w:val="008A3F0D"/>
    <w:rsid w:val="008A4161"/>
    <w:rsid w:val="008A451D"/>
    <w:rsid w:val="008A5BD4"/>
    <w:rsid w:val="008A68AD"/>
    <w:rsid w:val="008A6973"/>
    <w:rsid w:val="008B08EF"/>
    <w:rsid w:val="008B24A1"/>
    <w:rsid w:val="008B52D5"/>
    <w:rsid w:val="008B652C"/>
    <w:rsid w:val="008C1191"/>
    <w:rsid w:val="008C163C"/>
    <w:rsid w:val="008C2E5D"/>
    <w:rsid w:val="008C318D"/>
    <w:rsid w:val="008C33CB"/>
    <w:rsid w:val="008C36D4"/>
    <w:rsid w:val="008C56A3"/>
    <w:rsid w:val="008C7225"/>
    <w:rsid w:val="008D00FE"/>
    <w:rsid w:val="008D097B"/>
    <w:rsid w:val="008D2A3F"/>
    <w:rsid w:val="008D2EE3"/>
    <w:rsid w:val="008D6C98"/>
    <w:rsid w:val="008E07A7"/>
    <w:rsid w:val="008E0AE3"/>
    <w:rsid w:val="008E1A79"/>
    <w:rsid w:val="008E1F0A"/>
    <w:rsid w:val="008E2F31"/>
    <w:rsid w:val="008E2FCB"/>
    <w:rsid w:val="008E3843"/>
    <w:rsid w:val="008E51C2"/>
    <w:rsid w:val="008F2394"/>
    <w:rsid w:val="008F4F5F"/>
    <w:rsid w:val="00900626"/>
    <w:rsid w:val="009011B0"/>
    <w:rsid w:val="00903F70"/>
    <w:rsid w:val="009048CD"/>
    <w:rsid w:val="00906D07"/>
    <w:rsid w:val="009122D4"/>
    <w:rsid w:val="00912D43"/>
    <w:rsid w:val="00913283"/>
    <w:rsid w:val="00915DD2"/>
    <w:rsid w:val="00920E26"/>
    <w:rsid w:val="009224AF"/>
    <w:rsid w:val="00923C5C"/>
    <w:rsid w:val="00923DFE"/>
    <w:rsid w:val="00923F2E"/>
    <w:rsid w:val="00923FF9"/>
    <w:rsid w:val="0092508D"/>
    <w:rsid w:val="00925BFB"/>
    <w:rsid w:val="009265DF"/>
    <w:rsid w:val="00926841"/>
    <w:rsid w:val="00926910"/>
    <w:rsid w:val="009271C2"/>
    <w:rsid w:val="00930A9E"/>
    <w:rsid w:val="00930D67"/>
    <w:rsid w:val="00931AC6"/>
    <w:rsid w:val="009349A4"/>
    <w:rsid w:val="009367F7"/>
    <w:rsid w:val="00940981"/>
    <w:rsid w:val="00940E61"/>
    <w:rsid w:val="0094245A"/>
    <w:rsid w:val="00945DF1"/>
    <w:rsid w:val="00947482"/>
    <w:rsid w:val="00950A46"/>
    <w:rsid w:val="00950FC0"/>
    <w:rsid w:val="009522EF"/>
    <w:rsid w:val="009524AB"/>
    <w:rsid w:val="0095451C"/>
    <w:rsid w:val="00954746"/>
    <w:rsid w:val="009552A1"/>
    <w:rsid w:val="00955687"/>
    <w:rsid w:val="0096084E"/>
    <w:rsid w:val="00962044"/>
    <w:rsid w:val="009621EC"/>
    <w:rsid w:val="009646F3"/>
    <w:rsid w:val="00966C07"/>
    <w:rsid w:val="00966CDD"/>
    <w:rsid w:val="009675BE"/>
    <w:rsid w:val="009705DC"/>
    <w:rsid w:val="00976683"/>
    <w:rsid w:val="00977C48"/>
    <w:rsid w:val="00981AA1"/>
    <w:rsid w:val="00983A71"/>
    <w:rsid w:val="009854CC"/>
    <w:rsid w:val="00985588"/>
    <w:rsid w:val="00987958"/>
    <w:rsid w:val="009907A5"/>
    <w:rsid w:val="00992207"/>
    <w:rsid w:val="00993027"/>
    <w:rsid w:val="0099754B"/>
    <w:rsid w:val="009A0483"/>
    <w:rsid w:val="009A056D"/>
    <w:rsid w:val="009A18D6"/>
    <w:rsid w:val="009A4E9D"/>
    <w:rsid w:val="009A55F6"/>
    <w:rsid w:val="009A5C50"/>
    <w:rsid w:val="009A660D"/>
    <w:rsid w:val="009A7B03"/>
    <w:rsid w:val="009B0816"/>
    <w:rsid w:val="009B127C"/>
    <w:rsid w:val="009B1C16"/>
    <w:rsid w:val="009B2321"/>
    <w:rsid w:val="009B36C2"/>
    <w:rsid w:val="009B3E5B"/>
    <w:rsid w:val="009B60A9"/>
    <w:rsid w:val="009B64F6"/>
    <w:rsid w:val="009C0182"/>
    <w:rsid w:val="009C101B"/>
    <w:rsid w:val="009C2769"/>
    <w:rsid w:val="009C35EC"/>
    <w:rsid w:val="009C68F9"/>
    <w:rsid w:val="009C69F2"/>
    <w:rsid w:val="009D0C83"/>
    <w:rsid w:val="009D2BF5"/>
    <w:rsid w:val="009D3658"/>
    <w:rsid w:val="009D3D40"/>
    <w:rsid w:val="009D3EFA"/>
    <w:rsid w:val="009D4540"/>
    <w:rsid w:val="009D4A08"/>
    <w:rsid w:val="009D5243"/>
    <w:rsid w:val="009D665B"/>
    <w:rsid w:val="009D68DD"/>
    <w:rsid w:val="009D7B2E"/>
    <w:rsid w:val="009D7BE8"/>
    <w:rsid w:val="009E0F88"/>
    <w:rsid w:val="009E154D"/>
    <w:rsid w:val="009E177B"/>
    <w:rsid w:val="009E466B"/>
    <w:rsid w:val="009E53EC"/>
    <w:rsid w:val="009E54AB"/>
    <w:rsid w:val="009E567C"/>
    <w:rsid w:val="009E5B1A"/>
    <w:rsid w:val="009E6357"/>
    <w:rsid w:val="009E6795"/>
    <w:rsid w:val="009E7AEA"/>
    <w:rsid w:val="009F06D1"/>
    <w:rsid w:val="009F177F"/>
    <w:rsid w:val="009F1AAF"/>
    <w:rsid w:val="009F2964"/>
    <w:rsid w:val="009F3B03"/>
    <w:rsid w:val="009F62FD"/>
    <w:rsid w:val="00A001F8"/>
    <w:rsid w:val="00A00CAC"/>
    <w:rsid w:val="00A00CF8"/>
    <w:rsid w:val="00A02288"/>
    <w:rsid w:val="00A02BE2"/>
    <w:rsid w:val="00A03738"/>
    <w:rsid w:val="00A057B9"/>
    <w:rsid w:val="00A057E5"/>
    <w:rsid w:val="00A104FF"/>
    <w:rsid w:val="00A17273"/>
    <w:rsid w:val="00A174F7"/>
    <w:rsid w:val="00A20ED0"/>
    <w:rsid w:val="00A21CC1"/>
    <w:rsid w:val="00A24651"/>
    <w:rsid w:val="00A26C29"/>
    <w:rsid w:val="00A31AEA"/>
    <w:rsid w:val="00A31DE8"/>
    <w:rsid w:val="00A32269"/>
    <w:rsid w:val="00A328B7"/>
    <w:rsid w:val="00A371D2"/>
    <w:rsid w:val="00A37D1E"/>
    <w:rsid w:val="00A408C6"/>
    <w:rsid w:val="00A41256"/>
    <w:rsid w:val="00A41865"/>
    <w:rsid w:val="00A4311F"/>
    <w:rsid w:val="00A44F0F"/>
    <w:rsid w:val="00A4584E"/>
    <w:rsid w:val="00A46361"/>
    <w:rsid w:val="00A466DE"/>
    <w:rsid w:val="00A47195"/>
    <w:rsid w:val="00A50037"/>
    <w:rsid w:val="00A511D4"/>
    <w:rsid w:val="00A529B0"/>
    <w:rsid w:val="00A53518"/>
    <w:rsid w:val="00A543AE"/>
    <w:rsid w:val="00A5466E"/>
    <w:rsid w:val="00A61327"/>
    <w:rsid w:val="00A623CA"/>
    <w:rsid w:val="00A62F18"/>
    <w:rsid w:val="00A63C4C"/>
    <w:rsid w:val="00A64CEB"/>
    <w:rsid w:val="00A6525F"/>
    <w:rsid w:val="00A65B6F"/>
    <w:rsid w:val="00A6692C"/>
    <w:rsid w:val="00A672A1"/>
    <w:rsid w:val="00A675AF"/>
    <w:rsid w:val="00A70841"/>
    <w:rsid w:val="00A70CF5"/>
    <w:rsid w:val="00A7298A"/>
    <w:rsid w:val="00A73756"/>
    <w:rsid w:val="00A73C9A"/>
    <w:rsid w:val="00A74116"/>
    <w:rsid w:val="00A766BC"/>
    <w:rsid w:val="00A80C4D"/>
    <w:rsid w:val="00A810AC"/>
    <w:rsid w:val="00A81C9C"/>
    <w:rsid w:val="00A83A59"/>
    <w:rsid w:val="00A903DD"/>
    <w:rsid w:val="00A91CCA"/>
    <w:rsid w:val="00A94FE6"/>
    <w:rsid w:val="00A95A15"/>
    <w:rsid w:val="00A96E0B"/>
    <w:rsid w:val="00AA213A"/>
    <w:rsid w:val="00AA47D2"/>
    <w:rsid w:val="00AA4B84"/>
    <w:rsid w:val="00AA5DD1"/>
    <w:rsid w:val="00AA5F3E"/>
    <w:rsid w:val="00AA66E8"/>
    <w:rsid w:val="00AA69E8"/>
    <w:rsid w:val="00AA7546"/>
    <w:rsid w:val="00AB0D70"/>
    <w:rsid w:val="00AB7137"/>
    <w:rsid w:val="00AB7818"/>
    <w:rsid w:val="00AB7E26"/>
    <w:rsid w:val="00AC31D8"/>
    <w:rsid w:val="00AC45F1"/>
    <w:rsid w:val="00AC7F7E"/>
    <w:rsid w:val="00AD0480"/>
    <w:rsid w:val="00AD16AA"/>
    <w:rsid w:val="00AD1AC3"/>
    <w:rsid w:val="00AD1BBF"/>
    <w:rsid w:val="00AD4427"/>
    <w:rsid w:val="00AD7B70"/>
    <w:rsid w:val="00AE093E"/>
    <w:rsid w:val="00AE149D"/>
    <w:rsid w:val="00AF18DC"/>
    <w:rsid w:val="00AF4E7F"/>
    <w:rsid w:val="00AF523C"/>
    <w:rsid w:val="00B007DC"/>
    <w:rsid w:val="00B0651D"/>
    <w:rsid w:val="00B06C37"/>
    <w:rsid w:val="00B07091"/>
    <w:rsid w:val="00B124C1"/>
    <w:rsid w:val="00B12CEA"/>
    <w:rsid w:val="00B13016"/>
    <w:rsid w:val="00B13D8F"/>
    <w:rsid w:val="00B14D1A"/>
    <w:rsid w:val="00B1558C"/>
    <w:rsid w:val="00B1684E"/>
    <w:rsid w:val="00B20D0A"/>
    <w:rsid w:val="00B21127"/>
    <w:rsid w:val="00B21651"/>
    <w:rsid w:val="00B21D88"/>
    <w:rsid w:val="00B21EBE"/>
    <w:rsid w:val="00B2286E"/>
    <w:rsid w:val="00B27254"/>
    <w:rsid w:val="00B30367"/>
    <w:rsid w:val="00B3075D"/>
    <w:rsid w:val="00B315F3"/>
    <w:rsid w:val="00B31CE0"/>
    <w:rsid w:val="00B32706"/>
    <w:rsid w:val="00B327B2"/>
    <w:rsid w:val="00B33E39"/>
    <w:rsid w:val="00B34B4E"/>
    <w:rsid w:val="00B35C1B"/>
    <w:rsid w:val="00B36997"/>
    <w:rsid w:val="00B37BA0"/>
    <w:rsid w:val="00B41D53"/>
    <w:rsid w:val="00B43A75"/>
    <w:rsid w:val="00B43B4C"/>
    <w:rsid w:val="00B47280"/>
    <w:rsid w:val="00B477DB"/>
    <w:rsid w:val="00B47A7F"/>
    <w:rsid w:val="00B47B8A"/>
    <w:rsid w:val="00B525B8"/>
    <w:rsid w:val="00B547A9"/>
    <w:rsid w:val="00B54A45"/>
    <w:rsid w:val="00B55A30"/>
    <w:rsid w:val="00B5747F"/>
    <w:rsid w:val="00B577BF"/>
    <w:rsid w:val="00B57970"/>
    <w:rsid w:val="00B60CFE"/>
    <w:rsid w:val="00B60E1E"/>
    <w:rsid w:val="00B61092"/>
    <w:rsid w:val="00B611F1"/>
    <w:rsid w:val="00B61340"/>
    <w:rsid w:val="00B6519C"/>
    <w:rsid w:val="00B65739"/>
    <w:rsid w:val="00B67529"/>
    <w:rsid w:val="00B67EE2"/>
    <w:rsid w:val="00B7098D"/>
    <w:rsid w:val="00B70B07"/>
    <w:rsid w:val="00B7123E"/>
    <w:rsid w:val="00B7346F"/>
    <w:rsid w:val="00B73A0E"/>
    <w:rsid w:val="00B73B6E"/>
    <w:rsid w:val="00B74AC9"/>
    <w:rsid w:val="00B75720"/>
    <w:rsid w:val="00B76B43"/>
    <w:rsid w:val="00B77552"/>
    <w:rsid w:val="00B778A6"/>
    <w:rsid w:val="00B778E7"/>
    <w:rsid w:val="00B77A80"/>
    <w:rsid w:val="00B77C82"/>
    <w:rsid w:val="00B804C3"/>
    <w:rsid w:val="00B80671"/>
    <w:rsid w:val="00B820A1"/>
    <w:rsid w:val="00B828AC"/>
    <w:rsid w:val="00B8292F"/>
    <w:rsid w:val="00B83A4B"/>
    <w:rsid w:val="00B84DC6"/>
    <w:rsid w:val="00B8759C"/>
    <w:rsid w:val="00B87FB6"/>
    <w:rsid w:val="00B906A4"/>
    <w:rsid w:val="00B93F12"/>
    <w:rsid w:val="00B946EE"/>
    <w:rsid w:val="00B954EF"/>
    <w:rsid w:val="00B96550"/>
    <w:rsid w:val="00B978EB"/>
    <w:rsid w:val="00B97945"/>
    <w:rsid w:val="00BA00B2"/>
    <w:rsid w:val="00BA11B2"/>
    <w:rsid w:val="00BA3097"/>
    <w:rsid w:val="00BA6D8A"/>
    <w:rsid w:val="00BA7A84"/>
    <w:rsid w:val="00BB05CD"/>
    <w:rsid w:val="00BB3AAB"/>
    <w:rsid w:val="00BC0EA1"/>
    <w:rsid w:val="00BC310E"/>
    <w:rsid w:val="00BC3451"/>
    <w:rsid w:val="00BC6A72"/>
    <w:rsid w:val="00BC7939"/>
    <w:rsid w:val="00BD3B69"/>
    <w:rsid w:val="00BE0C01"/>
    <w:rsid w:val="00BE1861"/>
    <w:rsid w:val="00BE1F21"/>
    <w:rsid w:val="00BE2454"/>
    <w:rsid w:val="00BE2CE0"/>
    <w:rsid w:val="00BE2D40"/>
    <w:rsid w:val="00BE30E9"/>
    <w:rsid w:val="00BE3167"/>
    <w:rsid w:val="00BE33DB"/>
    <w:rsid w:val="00BE3C7D"/>
    <w:rsid w:val="00BE3E3F"/>
    <w:rsid w:val="00BE60B0"/>
    <w:rsid w:val="00BE691D"/>
    <w:rsid w:val="00BF06DE"/>
    <w:rsid w:val="00BF337F"/>
    <w:rsid w:val="00BF3DD7"/>
    <w:rsid w:val="00BF619F"/>
    <w:rsid w:val="00BF7CA3"/>
    <w:rsid w:val="00C01327"/>
    <w:rsid w:val="00C01601"/>
    <w:rsid w:val="00C01798"/>
    <w:rsid w:val="00C03BC4"/>
    <w:rsid w:val="00C048B4"/>
    <w:rsid w:val="00C04E7A"/>
    <w:rsid w:val="00C0501D"/>
    <w:rsid w:val="00C06011"/>
    <w:rsid w:val="00C06461"/>
    <w:rsid w:val="00C10CC8"/>
    <w:rsid w:val="00C12B28"/>
    <w:rsid w:val="00C1343C"/>
    <w:rsid w:val="00C14EE6"/>
    <w:rsid w:val="00C158B9"/>
    <w:rsid w:val="00C15AED"/>
    <w:rsid w:val="00C20F95"/>
    <w:rsid w:val="00C2257B"/>
    <w:rsid w:val="00C242DC"/>
    <w:rsid w:val="00C24780"/>
    <w:rsid w:val="00C24956"/>
    <w:rsid w:val="00C24F3D"/>
    <w:rsid w:val="00C26E58"/>
    <w:rsid w:val="00C2725F"/>
    <w:rsid w:val="00C27353"/>
    <w:rsid w:val="00C318BE"/>
    <w:rsid w:val="00C350AC"/>
    <w:rsid w:val="00C40B4B"/>
    <w:rsid w:val="00C4150D"/>
    <w:rsid w:val="00C42EFD"/>
    <w:rsid w:val="00C437C9"/>
    <w:rsid w:val="00C45091"/>
    <w:rsid w:val="00C45D9A"/>
    <w:rsid w:val="00C46BF3"/>
    <w:rsid w:val="00C475C0"/>
    <w:rsid w:val="00C5075B"/>
    <w:rsid w:val="00C51802"/>
    <w:rsid w:val="00C5213C"/>
    <w:rsid w:val="00C54C91"/>
    <w:rsid w:val="00C54CEB"/>
    <w:rsid w:val="00C5507C"/>
    <w:rsid w:val="00C56E95"/>
    <w:rsid w:val="00C5707B"/>
    <w:rsid w:val="00C576BD"/>
    <w:rsid w:val="00C57F2F"/>
    <w:rsid w:val="00C604FC"/>
    <w:rsid w:val="00C61125"/>
    <w:rsid w:val="00C61CC6"/>
    <w:rsid w:val="00C6260C"/>
    <w:rsid w:val="00C62E07"/>
    <w:rsid w:val="00C64F95"/>
    <w:rsid w:val="00C652F2"/>
    <w:rsid w:val="00C65457"/>
    <w:rsid w:val="00C66C6E"/>
    <w:rsid w:val="00C66D07"/>
    <w:rsid w:val="00C716F8"/>
    <w:rsid w:val="00C7204E"/>
    <w:rsid w:val="00C7209A"/>
    <w:rsid w:val="00C76621"/>
    <w:rsid w:val="00C80E18"/>
    <w:rsid w:val="00C838C2"/>
    <w:rsid w:val="00C85F7F"/>
    <w:rsid w:val="00C877C6"/>
    <w:rsid w:val="00C87B5D"/>
    <w:rsid w:val="00C92C36"/>
    <w:rsid w:val="00C9339A"/>
    <w:rsid w:val="00C9498D"/>
    <w:rsid w:val="00C94DA3"/>
    <w:rsid w:val="00C96105"/>
    <w:rsid w:val="00C978F9"/>
    <w:rsid w:val="00CA1D12"/>
    <w:rsid w:val="00CA29E8"/>
    <w:rsid w:val="00CA3C60"/>
    <w:rsid w:val="00CA3E77"/>
    <w:rsid w:val="00CA7B1C"/>
    <w:rsid w:val="00CB1A17"/>
    <w:rsid w:val="00CB27A9"/>
    <w:rsid w:val="00CB286A"/>
    <w:rsid w:val="00CB3F97"/>
    <w:rsid w:val="00CB4AA9"/>
    <w:rsid w:val="00CB6B94"/>
    <w:rsid w:val="00CC2FB1"/>
    <w:rsid w:val="00CC3077"/>
    <w:rsid w:val="00CC3A70"/>
    <w:rsid w:val="00CC53EC"/>
    <w:rsid w:val="00CC5D3E"/>
    <w:rsid w:val="00CC65EE"/>
    <w:rsid w:val="00CC79E6"/>
    <w:rsid w:val="00CD1715"/>
    <w:rsid w:val="00CD1D2E"/>
    <w:rsid w:val="00CD210D"/>
    <w:rsid w:val="00CD2401"/>
    <w:rsid w:val="00CD69B4"/>
    <w:rsid w:val="00CD69EC"/>
    <w:rsid w:val="00CE03A0"/>
    <w:rsid w:val="00CE440E"/>
    <w:rsid w:val="00CF002D"/>
    <w:rsid w:val="00CF22A9"/>
    <w:rsid w:val="00CF2444"/>
    <w:rsid w:val="00CF29A2"/>
    <w:rsid w:val="00CF3530"/>
    <w:rsid w:val="00CF5061"/>
    <w:rsid w:val="00D00C60"/>
    <w:rsid w:val="00D01D24"/>
    <w:rsid w:val="00D037B6"/>
    <w:rsid w:val="00D041CF"/>
    <w:rsid w:val="00D049ED"/>
    <w:rsid w:val="00D04ECF"/>
    <w:rsid w:val="00D06344"/>
    <w:rsid w:val="00D074E5"/>
    <w:rsid w:val="00D0767E"/>
    <w:rsid w:val="00D07E54"/>
    <w:rsid w:val="00D1288E"/>
    <w:rsid w:val="00D13103"/>
    <w:rsid w:val="00D13198"/>
    <w:rsid w:val="00D136D2"/>
    <w:rsid w:val="00D163EA"/>
    <w:rsid w:val="00D202D7"/>
    <w:rsid w:val="00D208F2"/>
    <w:rsid w:val="00D20A36"/>
    <w:rsid w:val="00D22BB1"/>
    <w:rsid w:val="00D24AA6"/>
    <w:rsid w:val="00D26F15"/>
    <w:rsid w:val="00D30504"/>
    <w:rsid w:val="00D30C42"/>
    <w:rsid w:val="00D31055"/>
    <w:rsid w:val="00D31C89"/>
    <w:rsid w:val="00D31F53"/>
    <w:rsid w:val="00D32D78"/>
    <w:rsid w:val="00D32F73"/>
    <w:rsid w:val="00D3508C"/>
    <w:rsid w:val="00D37432"/>
    <w:rsid w:val="00D3759C"/>
    <w:rsid w:val="00D42500"/>
    <w:rsid w:val="00D42A4C"/>
    <w:rsid w:val="00D43F7E"/>
    <w:rsid w:val="00D44619"/>
    <w:rsid w:val="00D463B7"/>
    <w:rsid w:val="00D4655C"/>
    <w:rsid w:val="00D46CAE"/>
    <w:rsid w:val="00D47410"/>
    <w:rsid w:val="00D478F7"/>
    <w:rsid w:val="00D47FB3"/>
    <w:rsid w:val="00D502C6"/>
    <w:rsid w:val="00D50340"/>
    <w:rsid w:val="00D5124A"/>
    <w:rsid w:val="00D52401"/>
    <w:rsid w:val="00D52E11"/>
    <w:rsid w:val="00D53635"/>
    <w:rsid w:val="00D54813"/>
    <w:rsid w:val="00D55DD7"/>
    <w:rsid w:val="00D56749"/>
    <w:rsid w:val="00D60DDB"/>
    <w:rsid w:val="00D614DB"/>
    <w:rsid w:val="00D61B06"/>
    <w:rsid w:val="00D61F67"/>
    <w:rsid w:val="00D6219E"/>
    <w:rsid w:val="00D633BF"/>
    <w:rsid w:val="00D63884"/>
    <w:rsid w:val="00D64C58"/>
    <w:rsid w:val="00D65644"/>
    <w:rsid w:val="00D65FEE"/>
    <w:rsid w:val="00D66833"/>
    <w:rsid w:val="00D67BA2"/>
    <w:rsid w:val="00D715AE"/>
    <w:rsid w:val="00D71F3E"/>
    <w:rsid w:val="00D735CC"/>
    <w:rsid w:val="00D73E38"/>
    <w:rsid w:val="00D74FB8"/>
    <w:rsid w:val="00D75E48"/>
    <w:rsid w:val="00D76873"/>
    <w:rsid w:val="00D76C12"/>
    <w:rsid w:val="00D777D9"/>
    <w:rsid w:val="00D77917"/>
    <w:rsid w:val="00D803AD"/>
    <w:rsid w:val="00D8193F"/>
    <w:rsid w:val="00D84B43"/>
    <w:rsid w:val="00D856FA"/>
    <w:rsid w:val="00D85B4B"/>
    <w:rsid w:val="00D85ECD"/>
    <w:rsid w:val="00D87E8E"/>
    <w:rsid w:val="00D90CE9"/>
    <w:rsid w:val="00D90ED5"/>
    <w:rsid w:val="00D91C87"/>
    <w:rsid w:val="00D9211E"/>
    <w:rsid w:val="00D93522"/>
    <w:rsid w:val="00D9390D"/>
    <w:rsid w:val="00D96EC4"/>
    <w:rsid w:val="00DA20A2"/>
    <w:rsid w:val="00DA3613"/>
    <w:rsid w:val="00DA4D8F"/>
    <w:rsid w:val="00DA52A1"/>
    <w:rsid w:val="00DA6326"/>
    <w:rsid w:val="00DA70B8"/>
    <w:rsid w:val="00DA7CCB"/>
    <w:rsid w:val="00DB0DB0"/>
    <w:rsid w:val="00DB1370"/>
    <w:rsid w:val="00DB1EA7"/>
    <w:rsid w:val="00DB1FE3"/>
    <w:rsid w:val="00DB41EC"/>
    <w:rsid w:val="00DB42F1"/>
    <w:rsid w:val="00DB62B0"/>
    <w:rsid w:val="00DB6D4E"/>
    <w:rsid w:val="00DC04A3"/>
    <w:rsid w:val="00DC1438"/>
    <w:rsid w:val="00DC1CA2"/>
    <w:rsid w:val="00DC4444"/>
    <w:rsid w:val="00DC607D"/>
    <w:rsid w:val="00DC6F34"/>
    <w:rsid w:val="00DD1010"/>
    <w:rsid w:val="00DD27A3"/>
    <w:rsid w:val="00DD2DE4"/>
    <w:rsid w:val="00DD4BE6"/>
    <w:rsid w:val="00DD5087"/>
    <w:rsid w:val="00DD6490"/>
    <w:rsid w:val="00DD75EE"/>
    <w:rsid w:val="00DE2B54"/>
    <w:rsid w:val="00DE2C87"/>
    <w:rsid w:val="00DE3C2A"/>
    <w:rsid w:val="00DE4318"/>
    <w:rsid w:val="00DE45D4"/>
    <w:rsid w:val="00DE4E5C"/>
    <w:rsid w:val="00DE51E8"/>
    <w:rsid w:val="00DE6DB0"/>
    <w:rsid w:val="00DF222B"/>
    <w:rsid w:val="00DF48C4"/>
    <w:rsid w:val="00DF51F0"/>
    <w:rsid w:val="00DF53BF"/>
    <w:rsid w:val="00DF594B"/>
    <w:rsid w:val="00DF598F"/>
    <w:rsid w:val="00DF5F6E"/>
    <w:rsid w:val="00DF616D"/>
    <w:rsid w:val="00DF6936"/>
    <w:rsid w:val="00DF6A42"/>
    <w:rsid w:val="00DF71C1"/>
    <w:rsid w:val="00E0122E"/>
    <w:rsid w:val="00E01884"/>
    <w:rsid w:val="00E019B5"/>
    <w:rsid w:val="00E06474"/>
    <w:rsid w:val="00E06492"/>
    <w:rsid w:val="00E06DF3"/>
    <w:rsid w:val="00E074CB"/>
    <w:rsid w:val="00E11EBB"/>
    <w:rsid w:val="00E13343"/>
    <w:rsid w:val="00E13766"/>
    <w:rsid w:val="00E15B5B"/>
    <w:rsid w:val="00E16588"/>
    <w:rsid w:val="00E16F83"/>
    <w:rsid w:val="00E17DC0"/>
    <w:rsid w:val="00E23689"/>
    <w:rsid w:val="00E23753"/>
    <w:rsid w:val="00E25001"/>
    <w:rsid w:val="00E270ED"/>
    <w:rsid w:val="00E30EA4"/>
    <w:rsid w:val="00E335DA"/>
    <w:rsid w:val="00E36431"/>
    <w:rsid w:val="00E36DA5"/>
    <w:rsid w:val="00E40BE8"/>
    <w:rsid w:val="00E40FC6"/>
    <w:rsid w:val="00E45B50"/>
    <w:rsid w:val="00E51868"/>
    <w:rsid w:val="00E53128"/>
    <w:rsid w:val="00E53454"/>
    <w:rsid w:val="00E54DA2"/>
    <w:rsid w:val="00E555AE"/>
    <w:rsid w:val="00E559E9"/>
    <w:rsid w:val="00E57A53"/>
    <w:rsid w:val="00E57A73"/>
    <w:rsid w:val="00E64224"/>
    <w:rsid w:val="00E6588E"/>
    <w:rsid w:val="00E6674D"/>
    <w:rsid w:val="00E702AE"/>
    <w:rsid w:val="00E70BDD"/>
    <w:rsid w:val="00E71739"/>
    <w:rsid w:val="00E7221F"/>
    <w:rsid w:val="00E72781"/>
    <w:rsid w:val="00E73E0D"/>
    <w:rsid w:val="00E74D71"/>
    <w:rsid w:val="00E753C8"/>
    <w:rsid w:val="00E755F2"/>
    <w:rsid w:val="00E7614B"/>
    <w:rsid w:val="00E801A7"/>
    <w:rsid w:val="00E81619"/>
    <w:rsid w:val="00E829C3"/>
    <w:rsid w:val="00E82A09"/>
    <w:rsid w:val="00E84BE5"/>
    <w:rsid w:val="00E860DA"/>
    <w:rsid w:val="00E86D82"/>
    <w:rsid w:val="00E92968"/>
    <w:rsid w:val="00E92A5D"/>
    <w:rsid w:val="00E932E8"/>
    <w:rsid w:val="00E955A4"/>
    <w:rsid w:val="00E96124"/>
    <w:rsid w:val="00E97015"/>
    <w:rsid w:val="00EA0A26"/>
    <w:rsid w:val="00EA0C3F"/>
    <w:rsid w:val="00EA2656"/>
    <w:rsid w:val="00EA2D8A"/>
    <w:rsid w:val="00EA2FB6"/>
    <w:rsid w:val="00EA61E7"/>
    <w:rsid w:val="00EA7C81"/>
    <w:rsid w:val="00EA7D95"/>
    <w:rsid w:val="00EB01D9"/>
    <w:rsid w:val="00EB1C69"/>
    <w:rsid w:val="00EB57DF"/>
    <w:rsid w:val="00EB5A3F"/>
    <w:rsid w:val="00EB68E4"/>
    <w:rsid w:val="00EB708D"/>
    <w:rsid w:val="00EC017D"/>
    <w:rsid w:val="00EC201C"/>
    <w:rsid w:val="00EC23F2"/>
    <w:rsid w:val="00EC470F"/>
    <w:rsid w:val="00EC5B34"/>
    <w:rsid w:val="00EC6542"/>
    <w:rsid w:val="00EC66B1"/>
    <w:rsid w:val="00EC69F4"/>
    <w:rsid w:val="00EC787C"/>
    <w:rsid w:val="00ED0FCA"/>
    <w:rsid w:val="00ED20C7"/>
    <w:rsid w:val="00ED32B4"/>
    <w:rsid w:val="00ED339F"/>
    <w:rsid w:val="00ED6293"/>
    <w:rsid w:val="00ED66EF"/>
    <w:rsid w:val="00ED7C6F"/>
    <w:rsid w:val="00EE0360"/>
    <w:rsid w:val="00EE3AF1"/>
    <w:rsid w:val="00EE514A"/>
    <w:rsid w:val="00EE55C8"/>
    <w:rsid w:val="00EE5659"/>
    <w:rsid w:val="00EE7AAB"/>
    <w:rsid w:val="00EF3F7D"/>
    <w:rsid w:val="00F00107"/>
    <w:rsid w:val="00F01266"/>
    <w:rsid w:val="00F01896"/>
    <w:rsid w:val="00F02A53"/>
    <w:rsid w:val="00F03BC1"/>
    <w:rsid w:val="00F04383"/>
    <w:rsid w:val="00F068C2"/>
    <w:rsid w:val="00F073B7"/>
    <w:rsid w:val="00F10D47"/>
    <w:rsid w:val="00F1120A"/>
    <w:rsid w:val="00F12A65"/>
    <w:rsid w:val="00F1332B"/>
    <w:rsid w:val="00F15399"/>
    <w:rsid w:val="00F16949"/>
    <w:rsid w:val="00F16BAC"/>
    <w:rsid w:val="00F2160E"/>
    <w:rsid w:val="00F219D6"/>
    <w:rsid w:val="00F21F06"/>
    <w:rsid w:val="00F23B84"/>
    <w:rsid w:val="00F24254"/>
    <w:rsid w:val="00F25A40"/>
    <w:rsid w:val="00F2675E"/>
    <w:rsid w:val="00F3108D"/>
    <w:rsid w:val="00F316BD"/>
    <w:rsid w:val="00F31D67"/>
    <w:rsid w:val="00F31F28"/>
    <w:rsid w:val="00F32253"/>
    <w:rsid w:val="00F32C88"/>
    <w:rsid w:val="00F33933"/>
    <w:rsid w:val="00F377E4"/>
    <w:rsid w:val="00F40484"/>
    <w:rsid w:val="00F40BA0"/>
    <w:rsid w:val="00F425CB"/>
    <w:rsid w:val="00F427AF"/>
    <w:rsid w:val="00F451B8"/>
    <w:rsid w:val="00F46A57"/>
    <w:rsid w:val="00F46D07"/>
    <w:rsid w:val="00F50A50"/>
    <w:rsid w:val="00F51F9B"/>
    <w:rsid w:val="00F52BA0"/>
    <w:rsid w:val="00F5316A"/>
    <w:rsid w:val="00F534F2"/>
    <w:rsid w:val="00F5352D"/>
    <w:rsid w:val="00F54215"/>
    <w:rsid w:val="00F56968"/>
    <w:rsid w:val="00F56AC4"/>
    <w:rsid w:val="00F60FFE"/>
    <w:rsid w:val="00F61C02"/>
    <w:rsid w:val="00F631A6"/>
    <w:rsid w:val="00F63B4A"/>
    <w:rsid w:val="00F64465"/>
    <w:rsid w:val="00F650A8"/>
    <w:rsid w:val="00F6550B"/>
    <w:rsid w:val="00F65866"/>
    <w:rsid w:val="00F6712A"/>
    <w:rsid w:val="00F71745"/>
    <w:rsid w:val="00F73A96"/>
    <w:rsid w:val="00F74396"/>
    <w:rsid w:val="00F760FE"/>
    <w:rsid w:val="00F80DAC"/>
    <w:rsid w:val="00F81340"/>
    <w:rsid w:val="00F83619"/>
    <w:rsid w:val="00F83DCA"/>
    <w:rsid w:val="00F83F5A"/>
    <w:rsid w:val="00F84493"/>
    <w:rsid w:val="00F84C54"/>
    <w:rsid w:val="00F84D25"/>
    <w:rsid w:val="00F8527F"/>
    <w:rsid w:val="00F85F12"/>
    <w:rsid w:val="00F86100"/>
    <w:rsid w:val="00F872C1"/>
    <w:rsid w:val="00F9119F"/>
    <w:rsid w:val="00F923B0"/>
    <w:rsid w:val="00F933C3"/>
    <w:rsid w:val="00F94EF9"/>
    <w:rsid w:val="00F95555"/>
    <w:rsid w:val="00F96016"/>
    <w:rsid w:val="00F9713C"/>
    <w:rsid w:val="00F97831"/>
    <w:rsid w:val="00FA16B0"/>
    <w:rsid w:val="00FA207C"/>
    <w:rsid w:val="00FA661F"/>
    <w:rsid w:val="00FA6CBC"/>
    <w:rsid w:val="00FA6E98"/>
    <w:rsid w:val="00FA7388"/>
    <w:rsid w:val="00FA76B7"/>
    <w:rsid w:val="00FB1A0B"/>
    <w:rsid w:val="00FB33DC"/>
    <w:rsid w:val="00FB579A"/>
    <w:rsid w:val="00FB6054"/>
    <w:rsid w:val="00FB61B4"/>
    <w:rsid w:val="00FB6EF9"/>
    <w:rsid w:val="00FB7C69"/>
    <w:rsid w:val="00FC0F68"/>
    <w:rsid w:val="00FC67AF"/>
    <w:rsid w:val="00FD07DA"/>
    <w:rsid w:val="00FD07F3"/>
    <w:rsid w:val="00FD1045"/>
    <w:rsid w:val="00FD17C7"/>
    <w:rsid w:val="00FD3881"/>
    <w:rsid w:val="00FD4A4A"/>
    <w:rsid w:val="00FD5616"/>
    <w:rsid w:val="00FD5AE4"/>
    <w:rsid w:val="00FD5FC4"/>
    <w:rsid w:val="00FD706F"/>
    <w:rsid w:val="00FD7BCB"/>
    <w:rsid w:val="00FD7FEA"/>
    <w:rsid w:val="00FE082D"/>
    <w:rsid w:val="00FE20EF"/>
    <w:rsid w:val="00FE4CB3"/>
    <w:rsid w:val="00FE5BCE"/>
    <w:rsid w:val="00FE5F6A"/>
    <w:rsid w:val="00FE6DDB"/>
    <w:rsid w:val="00FF08F8"/>
    <w:rsid w:val="00FF1440"/>
    <w:rsid w:val="00FF1EE0"/>
    <w:rsid w:val="00FF2531"/>
    <w:rsid w:val="00FF454E"/>
    <w:rsid w:val="00FF66EB"/>
    <w:rsid w:val="00FF72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0EF03"/>
  <w15:chartTrackingRefBased/>
  <w15:docId w15:val="{29C2D01A-175F-4CC5-ABF4-74B1BD86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87C"/>
    <w:pPr>
      <w:spacing w:after="120" w:line="250" w:lineRule="auto"/>
      <w:ind w:left="11" w:hanging="11"/>
      <w:jc w:val="both"/>
    </w:pPr>
    <w:rPr>
      <w:rFonts w:ascii="Calibri" w:eastAsia="Calibri" w:hAnsi="Calibri" w:cs="Calibri"/>
      <w:color w:val="000000"/>
      <w:sz w:val="22"/>
    </w:rPr>
  </w:style>
  <w:style w:type="paragraph" w:styleId="Heading1">
    <w:name w:val="heading 1"/>
    <w:basedOn w:val="Normal"/>
    <w:next w:val="Normal"/>
    <w:link w:val="Heading1Char"/>
    <w:uiPriority w:val="9"/>
    <w:qFormat/>
    <w:rsid w:val="00EC787C"/>
    <w:pPr>
      <w:keepNext/>
      <w:keepLines/>
      <w:spacing w:before="120" w:after="36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65866"/>
    <w:pPr>
      <w:keepNext/>
      <w:keepLines/>
      <w:spacing w:before="240" w:after="240"/>
      <w:outlineLvl w:val="1"/>
    </w:pPr>
    <w:rPr>
      <w:rFonts w:asciiTheme="majorHAnsi" w:eastAsiaTheme="majorEastAsia" w:hAnsiTheme="majorHAnsi" w:cstheme="majorBidi"/>
      <w:color w:val="215E99" w:themeColor="text2" w:themeTint="BF"/>
      <w:sz w:val="32"/>
      <w:szCs w:val="32"/>
    </w:rPr>
  </w:style>
  <w:style w:type="paragraph" w:styleId="Heading3">
    <w:name w:val="heading 3"/>
    <w:basedOn w:val="Normal"/>
    <w:next w:val="Normal"/>
    <w:link w:val="Heading3Char"/>
    <w:uiPriority w:val="9"/>
    <w:semiHidden/>
    <w:unhideWhenUsed/>
    <w:qFormat/>
    <w:rsid w:val="00CD69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D69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9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9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9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9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9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8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65866"/>
    <w:rPr>
      <w:rFonts w:asciiTheme="majorHAnsi" w:eastAsiaTheme="majorEastAsia" w:hAnsiTheme="majorHAnsi" w:cstheme="majorBidi"/>
      <w:color w:val="215E99" w:themeColor="text2" w:themeTint="BF"/>
      <w:sz w:val="32"/>
      <w:szCs w:val="32"/>
    </w:rPr>
  </w:style>
  <w:style w:type="character" w:customStyle="1" w:styleId="Heading3Char">
    <w:name w:val="Heading 3 Char"/>
    <w:basedOn w:val="DefaultParagraphFont"/>
    <w:link w:val="Heading3"/>
    <w:uiPriority w:val="9"/>
    <w:semiHidden/>
    <w:rsid w:val="00CD69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D69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9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9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9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9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9EC"/>
    <w:rPr>
      <w:rFonts w:eastAsiaTheme="majorEastAsia" w:cstheme="majorBidi"/>
      <w:color w:val="272727" w:themeColor="text1" w:themeTint="D8"/>
    </w:rPr>
  </w:style>
  <w:style w:type="paragraph" w:styleId="Title">
    <w:name w:val="Title"/>
    <w:basedOn w:val="Normal"/>
    <w:next w:val="Normal"/>
    <w:link w:val="TitleChar"/>
    <w:uiPriority w:val="10"/>
    <w:qFormat/>
    <w:rsid w:val="00CD6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9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9EC"/>
    <w:pPr>
      <w:numPr>
        <w:ilvl w:val="1"/>
      </w:numPr>
      <w:ind w:left="11" w:hanging="11"/>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9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9EC"/>
    <w:pPr>
      <w:spacing w:before="160"/>
      <w:jc w:val="center"/>
    </w:pPr>
    <w:rPr>
      <w:i/>
      <w:iCs/>
      <w:color w:val="404040" w:themeColor="text1" w:themeTint="BF"/>
    </w:rPr>
  </w:style>
  <w:style w:type="character" w:customStyle="1" w:styleId="QuoteChar">
    <w:name w:val="Quote Char"/>
    <w:basedOn w:val="DefaultParagraphFont"/>
    <w:link w:val="Quote"/>
    <w:uiPriority w:val="29"/>
    <w:rsid w:val="00CD69EC"/>
    <w:rPr>
      <w:i/>
      <w:iCs/>
      <w:color w:val="404040" w:themeColor="text1" w:themeTint="BF"/>
    </w:rPr>
  </w:style>
  <w:style w:type="paragraph" w:styleId="ListParagraph">
    <w:name w:val="List Paragraph"/>
    <w:aliases w:val="body 2,Normal bullet 2,List Paragraph1,Heading x1,List Paragraph11,Bullet 1,Table of contents numbered,A_wyliczenie,K-P_odwolanie,Akapit z listą5,maz_wyliczenie,opis dzialania,Akapit z listą BS,Outlines a.b.c.,List_Paragraph,Forth level,l"/>
    <w:basedOn w:val="Normal"/>
    <w:link w:val="ListParagraphChar"/>
    <w:uiPriority w:val="34"/>
    <w:qFormat/>
    <w:rsid w:val="00CD69EC"/>
    <w:pPr>
      <w:ind w:left="720"/>
      <w:contextualSpacing/>
    </w:pPr>
  </w:style>
  <w:style w:type="character" w:styleId="IntenseEmphasis">
    <w:name w:val="Intense Emphasis"/>
    <w:basedOn w:val="DefaultParagraphFont"/>
    <w:uiPriority w:val="21"/>
    <w:qFormat/>
    <w:rsid w:val="00CD69EC"/>
    <w:rPr>
      <w:i/>
      <w:iCs/>
      <w:color w:val="0F4761" w:themeColor="accent1" w:themeShade="BF"/>
    </w:rPr>
  </w:style>
  <w:style w:type="paragraph" w:styleId="IntenseQuote">
    <w:name w:val="Intense Quote"/>
    <w:basedOn w:val="Normal"/>
    <w:next w:val="Normal"/>
    <w:link w:val="IntenseQuoteChar"/>
    <w:uiPriority w:val="30"/>
    <w:qFormat/>
    <w:rsid w:val="00CD6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9EC"/>
    <w:rPr>
      <w:i/>
      <w:iCs/>
      <w:color w:val="0F4761" w:themeColor="accent1" w:themeShade="BF"/>
    </w:rPr>
  </w:style>
  <w:style w:type="character" w:styleId="IntenseReference">
    <w:name w:val="Intense Reference"/>
    <w:basedOn w:val="DefaultParagraphFont"/>
    <w:uiPriority w:val="32"/>
    <w:qFormat/>
    <w:rsid w:val="00CD69EC"/>
    <w:rPr>
      <w:b/>
      <w:bCs/>
      <w:smallCaps/>
      <w:color w:val="0F4761" w:themeColor="accent1" w:themeShade="BF"/>
      <w:spacing w:val="5"/>
    </w:rPr>
  </w:style>
  <w:style w:type="paragraph" w:styleId="Header">
    <w:name w:val="header"/>
    <w:basedOn w:val="Normal"/>
    <w:link w:val="HeaderChar"/>
    <w:uiPriority w:val="99"/>
    <w:unhideWhenUsed/>
    <w:rsid w:val="00EE55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5C8"/>
  </w:style>
  <w:style w:type="paragraph" w:styleId="Footer">
    <w:name w:val="footer"/>
    <w:basedOn w:val="Normal"/>
    <w:link w:val="FooterChar"/>
    <w:uiPriority w:val="99"/>
    <w:unhideWhenUsed/>
    <w:rsid w:val="00EE55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5C8"/>
  </w:style>
  <w:style w:type="table" w:styleId="TableGrid">
    <w:name w:val="Table Grid"/>
    <w:basedOn w:val="TableNormal"/>
    <w:uiPriority w:val="39"/>
    <w:rsid w:val="00897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2 Char,Normal bullet 2 Char,List Paragraph1 Char,Heading x1 Char,List Paragraph11 Char,Bullet 1 Char,Table of contents numbered Char,A_wyliczenie Char,K-P_odwolanie Char,Akapit z listą5 Char,maz_wyliczenie Char,Forth level Char"/>
    <w:link w:val="ListParagraph"/>
    <w:uiPriority w:val="34"/>
    <w:qFormat/>
    <w:locked/>
    <w:rsid w:val="003F7737"/>
    <w:rPr>
      <w:rFonts w:ascii="Calibri" w:eastAsia="Calibri" w:hAnsi="Calibri" w:cs="Calibri"/>
      <w:color w:val="000000"/>
    </w:rPr>
  </w:style>
  <w:style w:type="table" w:customStyle="1" w:styleId="ECORYSTabela1">
    <w:name w:val="ECORYS Tabela1"/>
    <w:basedOn w:val="TableNormal"/>
    <w:next w:val="TableGrid"/>
    <w:uiPriority w:val="39"/>
    <w:rsid w:val="003F773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F7737"/>
    <w:pPr>
      <w:spacing w:after="0" w:line="240" w:lineRule="auto"/>
    </w:pPr>
    <w:rPr>
      <w:rFonts w:eastAsiaTheme="minorEastAsia"/>
      <w:kern w:val="0"/>
      <w:sz w:val="22"/>
      <w:szCs w:val="22"/>
      <w14:ligatures w14:val="none"/>
    </w:rPr>
  </w:style>
  <w:style w:type="character" w:customStyle="1" w:styleId="NoSpacingChar">
    <w:name w:val="No Spacing Char"/>
    <w:basedOn w:val="DefaultParagraphFont"/>
    <w:link w:val="NoSpacing"/>
    <w:uiPriority w:val="1"/>
    <w:rsid w:val="003F7737"/>
    <w:rPr>
      <w:rFonts w:eastAsiaTheme="minorEastAsia"/>
      <w:kern w:val="0"/>
      <w:sz w:val="22"/>
      <w:szCs w:val="22"/>
      <w14:ligatures w14:val="none"/>
    </w:rPr>
  </w:style>
  <w:style w:type="paragraph" w:styleId="TOCHeading">
    <w:name w:val="TOC Heading"/>
    <w:basedOn w:val="Heading1"/>
    <w:next w:val="Normal"/>
    <w:uiPriority w:val="39"/>
    <w:unhideWhenUsed/>
    <w:qFormat/>
    <w:rsid w:val="0028352F"/>
    <w:pPr>
      <w:spacing w:before="240" w:after="0" w:line="259" w:lineRule="auto"/>
      <w:ind w:left="0" w:firstLine="0"/>
      <w:jc w:val="left"/>
      <w:outlineLvl w:val="9"/>
    </w:pPr>
    <w:rPr>
      <w:kern w:val="0"/>
      <w:sz w:val="32"/>
      <w:szCs w:val="32"/>
      <w14:ligatures w14:val="none"/>
    </w:rPr>
  </w:style>
  <w:style w:type="paragraph" w:styleId="TOC1">
    <w:name w:val="toc 1"/>
    <w:basedOn w:val="Normal"/>
    <w:next w:val="Normal"/>
    <w:autoRedefine/>
    <w:uiPriority w:val="39"/>
    <w:unhideWhenUsed/>
    <w:rsid w:val="0028352F"/>
    <w:pPr>
      <w:spacing w:after="100"/>
      <w:ind w:left="0"/>
    </w:pPr>
  </w:style>
  <w:style w:type="paragraph" w:styleId="TOC2">
    <w:name w:val="toc 2"/>
    <w:basedOn w:val="Normal"/>
    <w:next w:val="Normal"/>
    <w:autoRedefine/>
    <w:uiPriority w:val="39"/>
    <w:unhideWhenUsed/>
    <w:rsid w:val="0028352F"/>
    <w:pPr>
      <w:spacing w:after="100"/>
      <w:ind w:left="220"/>
    </w:pPr>
  </w:style>
  <w:style w:type="character" w:styleId="Hyperlink">
    <w:name w:val="Hyperlink"/>
    <w:basedOn w:val="DefaultParagraphFont"/>
    <w:uiPriority w:val="99"/>
    <w:unhideWhenUsed/>
    <w:rsid w:val="0028352F"/>
    <w:rPr>
      <w:color w:val="467886" w:themeColor="hyperlink"/>
      <w:u w:val="single"/>
    </w:rPr>
  </w:style>
  <w:style w:type="paragraph" w:styleId="FootnoteText">
    <w:name w:val="footnote text"/>
    <w:aliases w:val="Footnote Text Char Char,Fußnote,fn,FT,ft,SD Footnote Text,Footnote Text AG,Note de bas de page Car Car,Note de bas de page Car Car Car Car Car,Note de bas de page Car Car Car Car,Note de bas de page Car Car Car,single space,o,Podrozdział"/>
    <w:basedOn w:val="Normal"/>
    <w:link w:val="FootnoteTextChar"/>
    <w:uiPriority w:val="99"/>
    <w:unhideWhenUsed/>
    <w:qFormat/>
    <w:rsid w:val="003409BE"/>
    <w:pPr>
      <w:spacing w:after="160" w:line="259" w:lineRule="auto"/>
      <w:ind w:left="0" w:firstLine="0"/>
    </w:pPr>
    <w:rPr>
      <w:rFonts w:eastAsiaTheme="minorEastAsia" w:cstheme="minorBidi"/>
      <w:color w:val="auto"/>
      <w:sz w:val="20"/>
      <w:szCs w:val="20"/>
      <w:lang w:val="ro-RO"/>
      <w14:ligatures w14:val="none"/>
    </w:rPr>
  </w:style>
  <w:style w:type="character" w:customStyle="1" w:styleId="FootnoteTextChar">
    <w:name w:val="Footnote Text Char"/>
    <w:aliases w:val="Footnote Text Char Char Char,Fußnote Char,fn Char,FT Char,ft Char,SD Footnote Text Char,Footnote Text AG Char,Note de bas de page Car Car Char,Note de bas de page Car Car Car Car Car Char,Note de bas de page Car Car Car Car Char"/>
    <w:basedOn w:val="DefaultParagraphFont"/>
    <w:link w:val="FootnoteText"/>
    <w:uiPriority w:val="99"/>
    <w:rsid w:val="003409BE"/>
    <w:rPr>
      <w:rFonts w:ascii="Calibri" w:eastAsiaTheme="minorEastAsia" w:hAnsi="Calibri"/>
      <w:sz w:val="20"/>
      <w:szCs w:val="20"/>
      <w:lang w:val="ro-RO"/>
      <w14:ligatures w14:val="none"/>
    </w:rPr>
  </w:style>
  <w:style w:type="character" w:styleId="FootnoteReference">
    <w:name w:val="footnote reference"/>
    <w:aliases w:val="fr,Footnote Reference Number,Odwołanie przypisu,Footnote Reference Superscript,ftref, BVI fnr,BVI fnr,Footnote symbol,EN Footnote Reference,Times 10 Point,Exposant 3 Point,Footnote reference number,note TESI,stylish,SUPERS,R,Ref,Nota"/>
    <w:basedOn w:val="DefaultParagraphFont"/>
    <w:link w:val="SUPERSCharCharCharCharCharCharCharChar"/>
    <w:uiPriority w:val="99"/>
    <w:unhideWhenUsed/>
    <w:qFormat/>
    <w:rsid w:val="003409BE"/>
    <w:rPr>
      <w:vertAlign w:val="superscript"/>
    </w:rPr>
  </w:style>
  <w:style w:type="character" w:customStyle="1" w:styleId="normaltextrun">
    <w:name w:val="normaltextrun"/>
    <w:basedOn w:val="DefaultParagraphFont"/>
    <w:rsid w:val="003409BE"/>
  </w:style>
  <w:style w:type="character" w:customStyle="1" w:styleId="eop">
    <w:name w:val="eop"/>
    <w:basedOn w:val="DefaultParagraphFont"/>
    <w:rsid w:val="003409BE"/>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409BE"/>
    <w:pPr>
      <w:spacing w:after="160" w:line="240" w:lineRule="exact"/>
      <w:ind w:left="0" w:firstLine="0"/>
    </w:pPr>
    <w:rPr>
      <w:rFonts w:asciiTheme="minorHAnsi" w:eastAsiaTheme="minorHAnsi" w:hAnsiTheme="minorHAnsi" w:cstheme="minorBidi"/>
      <w:color w:val="auto"/>
      <w:sz w:val="24"/>
      <w:vertAlign w:val="superscript"/>
    </w:rPr>
  </w:style>
  <w:style w:type="paragraph" w:customStyle="1" w:styleId="Default">
    <w:name w:val="Default"/>
    <w:rsid w:val="007B0610"/>
    <w:pPr>
      <w:autoSpaceDE w:val="0"/>
      <w:autoSpaceDN w:val="0"/>
      <w:adjustRightInd w:val="0"/>
      <w:spacing w:after="0" w:line="240" w:lineRule="auto"/>
    </w:pPr>
    <w:rPr>
      <w:rFonts w:ascii="Calibri" w:hAnsi="Calibri" w:cs="Calibri"/>
      <w:color w:val="000000"/>
      <w:kern w:val="0"/>
      <w14:ligatures w14:val="none"/>
    </w:rPr>
  </w:style>
  <w:style w:type="character" w:styleId="CommentReference">
    <w:name w:val="annotation reference"/>
    <w:basedOn w:val="DefaultParagraphFont"/>
    <w:uiPriority w:val="99"/>
    <w:semiHidden/>
    <w:unhideWhenUsed/>
    <w:rsid w:val="006D2EE7"/>
    <w:rPr>
      <w:sz w:val="16"/>
      <w:szCs w:val="16"/>
    </w:rPr>
  </w:style>
  <w:style w:type="paragraph" w:styleId="CommentText">
    <w:name w:val="annotation text"/>
    <w:basedOn w:val="Normal"/>
    <w:link w:val="CommentTextChar"/>
    <w:uiPriority w:val="99"/>
    <w:unhideWhenUsed/>
    <w:rsid w:val="006D2EE7"/>
    <w:pPr>
      <w:spacing w:line="240" w:lineRule="auto"/>
    </w:pPr>
    <w:rPr>
      <w:sz w:val="20"/>
      <w:szCs w:val="20"/>
    </w:rPr>
  </w:style>
  <w:style w:type="character" w:customStyle="1" w:styleId="CommentTextChar">
    <w:name w:val="Comment Text Char"/>
    <w:basedOn w:val="DefaultParagraphFont"/>
    <w:link w:val="CommentText"/>
    <w:uiPriority w:val="99"/>
    <w:rsid w:val="006D2EE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6D2EE7"/>
    <w:rPr>
      <w:b/>
      <w:bCs/>
    </w:rPr>
  </w:style>
  <w:style w:type="character" w:customStyle="1" w:styleId="CommentSubjectChar">
    <w:name w:val="Comment Subject Char"/>
    <w:basedOn w:val="CommentTextChar"/>
    <w:link w:val="CommentSubject"/>
    <w:uiPriority w:val="99"/>
    <w:semiHidden/>
    <w:rsid w:val="006D2EE7"/>
    <w:rPr>
      <w:rFonts w:ascii="Calibri" w:eastAsia="Calibri" w:hAnsi="Calibri" w:cs="Calibri"/>
      <w:b/>
      <w:bCs/>
      <w:color w:val="000000"/>
      <w:sz w:val="20"/>
      <w:szCs w:val="20"/>
    </w:rPr>
  </w:style>
  <w:style w:type="character" w:styleId="UnresolvedMention">
    <w:name w:val="Unresolved Mention"/>
    <w:basedOn w:val="DefaultParagraphFont"/>
    <w:uiPriority w:val="99"/>
    <w:semiHidden/>
    <w:unhideWhenUsed/>
    <w:rsid w:val="00BE2454"/>
    <w:rPr>
      <w:color w:val="605E5C"/>
      <w:shd w:val="clear" w:color="auto" w:fill="E1DFDD"/>
    </w:rPr>
  </w:style>
  <w:style w:type="character" w:styleId="FollowedHyperlink">
    <w:name w:val="FollowedHyperlink"/>
    <w:basedOn w:val="DefaultParagraphFont"/>
    <w:uiPriority w:val="99"/>
    <w:semiHidden/>
    <w:unhideWhenUsed/>
    <w:rsid w:val="00AB0D70"/>
    <w:rPr>
      <w:color w:val="96607D" w:themeColor="followedHyperlink"/>
      <w:u w:val="single"/>
    </w:rPr>
  </w:style>
  <w:style w:type="paragraph" w:customStyle="1" w:styleId="NormalNumberedPara">
    <w:name w:val="NormalNumberedPara"/>
    <w:basedOn w:val="Normal"/>
    <w:qFormat/>
    <w:rsid w:val="00B778E7"/>
    <w:pPr>
      <w:numPr>
        <w:numId w:val="26"/>
      </w:numPr>
      <w:spacing w:line="276" w:lineRule="auto"/>
      <w:ind w:left="-72"/>
    </w:pPr>
    <w:rPr>
      <w:rFonts w:eastAsiaTheme="minorEastAsia" w:cstheme="minorBidi"/>
      <w:color w:val="auto"/>
      <w:kern w:val="0"/>
      <w:szCs w:val="20"/>
      <w:lang w:val="ro-RO"/>
      <w14:ligatures w14:val="none"/>
    </w:rPr>
  </w:style>
  <w:style w:type="paragraph" w:styleId="NormalWeb">
    <w:name w:val="Normal (Web)"/>
    <w:basedOn w:val="Normal"/>
    <w:uiPriority w:val="99"/>
    <w:semiHidden/>
    <w:unhideWhenUsed/>
    <w:rsid w:val="00B778E7"/>
    <w:pPr>
      <w:spacing w:before="100" w:beforeAutospacing="1" w:after="100" w:afterAutospacing="1" w:line="240" w:lineRule="auto"/>
      <w:ind w:left="0" w:firstLine="0"/>
      <w:jc w:val="left"/>
    </w:pPr>
    <w:rPr>
      <w:rFonts w:ascii="Times New Roman" w:eastAsia="Times New Roman" w:hAnsi="Times New Roman" w:cs="Times New Roman"/>
      <w:color w:val="auto"/>
      <w:kern w:val="0"/>
      <w:sz w:val="24"/>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53987">
      <w:bodyDiv w:val="1"/>
      <w:marLeft w:val="0"/>
      <w:marRight w:val="0"/>
      <w:marTop w:val="0"/>
      <w:marBottom w:val="0"/>
      <w:divBdr>
        <w:top w:val="none" w:sz="0" w:space="0" w:color="auto"/>
        <w:left w:val="none" w:sz="0" w:space="0" w:color="auto"/>
        <w:bottom w:val="none" w:sz="0" w:space="0" w:color="auto"/>
        <w:right w:val="none" w:sz="0" w:space="0" w:color="auto"/>
      </w:divBdr>
    </w:div>
    <w:div w:id="104472985">
      <w:bodyDiv w:val="1"/>
      <w:marLeft w:val="0"/>
      <w:marRight w:val="0"/>
      <w:marTop w:val="0"/>
      <w:marBottom w:val="0"/>
      <w:divBdr>
        <w:top w:val="none" w:sz="0" w:space="0" w:color="auto"/>
        <w:left w:val="none" w:sz="0" w:space="0" w:color="auto"/>
        <w:bottom w:val="none" w:sz="0" w:space="0" w:color="auto"/>
        <w:right w:val="none" w:sz="0" w:space="0" w:color="auto"/>
      </w:divBdr>
    </w:div>
    <w:div w:id="292444352">
      <w:bodyDiv w:val="1"/>
      <w:marLeft w:val="0"/>
      <w:marRight w:val="0"/>
      <w:marTop w:val="0"/>
      <w:marBottom w:val="0"/>
      <w:divBdr>
        <w:top w:val="none" w:sz="0" w:space="0" w:color="auto"/>
        <w:left w:val="none" w:sz="0" w:space="0" w:color="auto"/>
        <w:bottom w:val="none" w:sz="0" w:space="0" w:color="auto"/>
        <w:right w:val="none" w:sz="0" w:space="0" w:color="auto"/>
      </w:divBdr>
    </w:div>
    <w:div w:id="461269386">
      <w:bodyDiv w:val="1"/>
      <w:marLeft w:val="0"/>
      <w:marRight w:val="0"/>
      <w:marTop w:val="0"/>
      <w:marBottom w:val="0"/>
      <w:divBdr>
        <w:top w:val="none" w:sz="0" w:space="0" w:color="auto"/>
        <w:left w:val="none" w:sz="0" w:space="0" w:color="auto"/>
        <w:bottom w:val="none" w:sz="0" w:space="0" w:color="auto"/>
        <w:right w:val="none" w:sz="0" w:space="0" w:color="auto"/>
      </w:divBdr>
    </w:div>
    <w:div w:id="489099498">
      <w:bodyDiv w:val="1"/>
      <w:marLeft w:val="0"/>
      <w:marRight w:val="0"/>
      <w:marTop w:val="0"/>
      <w:marBottom w:val="0"/>
      <w:divBdr>
        <w:top w:val="none" w:sz="0" w:space="0" w:color="auto"/>
        <w:left w:val="none" w:sz="0" w:space="0" w:color="auto"/>
        <w:bottom w:val="none" w:sz="0" w:space="0" w:color="auto"/>
        <w:right w:val="none" w:sz="0" w:space="0" w:color="auto"/>
      </w:divBdr>
    </w:div>
    <w:div w:id="507990059">
      <w:bodyDiv w:val="1"/>
      <w:marLeft w:val="0"/>
      <w:marRight w:val="0"/>
      <w:marTop w:val="0"/>
      <w:marBottom w:val="0"/>
      <w:divBdr>
        <w:top w:val="none" w:sz="0" w:space="0" w:color="auto"/>
        <w:left w:val="none" w:sz="0" w:space="0" w:color="auto"/>
        <w:bottom w:val="none" w:sz="0" w:space="0" w:color="auto"/>
        <w:right w:val="none" w:sz="0" w:space="0" w:color="auto"/>
      </w:divBdr>
    </w:div>
    <w:div w:id="957495327">
      <w:bodyDiv w:val="1"/>
      <w:marLeft w:val="0"/>
      <w:marRight w:val="0"/>
      <w:marTop w:val="0"/>
      <w:marBottom w:val="0"/>
      <w:divBdr>
        <w:top w:val="none" w:sz="0" w:space="0" w:color="auto"/>
        <w:left w:val="none" w:sz="0" w:space="0" w:color="auto"/>
        <w:bottom w:val="none" w:sz="0" w:space="0" w:color="auto"/>
        <w:right w:val="none" w:sz="0" w:space="0" w:color="auto"/>
      </w:divBdr>
    </w:div>
    <w:div w:id="1003508401">
      <w:bodyDiv w:val="1"/>
      <w:marLeft w:val="0"/>
      <w:marRight w:val="0"/>
      <w:marTop w:val="0"/>
      <w:marBottom w:val="0"/>
      <w:divBdr>
        <w:top w:val="none" w:sz="0" w:space="0" w:color="auto"/>
        <w:left w:val="none" w:sz="0" w:space="0" w:color="auto"/>
        <w:bottom w:val="none" w:sz="0" w:space="0" w:color="auto"/>
        <w:right w:val="none" w:sz="0" w:space="0" w:color="auto"/>
      </w:divBdr>
    </w:div>
    <w:div w:id="1134912585">
      <w:bodyDiv w:val="1"/>
      <w:marLeft w:val="0"/>
      <w:marRight w:val="0"/>
      <w:marTop w:val="0"/>
      <w:marBottom w:val="0"/>
      <w:divBdr>
        <w:top w:val="none" w:sz="0" w:space="0" w:color="auto"/>
        <w:left w:val="none" w:sz="0" w:space="0" w:color="auto"/>
        <w:bottom w:val="none" w:sz="0" w:space="0" w:color="auto"/>
        <w:right w:val="none" w:sz="0" w:space="0" w:color="auto"/>
      </w:divBdr>
    </w:div>
    <w:div w:id="1571620757">
      <w:bodyDiv w:val="1"/>
      <w:marLeft w:val="0"/>
      <w:marRight w:val="0"/>
      <w:marTop w:val="0"/>
      <w:marBottom w:val="0"/>
      <w:divBdr>
        <w:top w:val="none" w:sz="0" w:space="0" w:color="auto"/>
        <w:left w:val="none" w:sz="0" w:space="0" w:color="auto"/>
        <w:bottom w:val="none" w:sz="0" w:space="0" w:color="auto"/>
        <w:right w:val="none" w:sz="0" w:space="0" w:color="auto"/>
      </w:divBdr>
    </w:div>
    <w:div w:id="1608006812">
      <w:bodyDiv w:val="1"/>
      <w:marLeft w:val="0"/>
      <w:marRight w:val="0"/>
      <w:marTop w:val="0"/>
      <w:marBottom w:val="0"/>
      <w:divBdr>
        <w:top w:val="none" w:sz="0" w:space="0" w:color="auto"/>
        <w:left w:val="none" w:sz="0" w:space="0" w:color="auto"/>
        <w:bottom w:val="none" w:sz="0" w:space="0" w:color="auto"/>
        <w:right w:val="none" w:sz="0" w:space="0" w:color="auto"/>
      </w:divBdr>
    </w:div>
    <w:div w:id="1628311131">
      <w:bodyDiv w:val="1"/>
      <w:marLeft w:val="0"/>
      <w:marRight w:val="0"/>
      <w:marTop w:val="0"/>
      <w:marBottom w:val="0"/>
      <w:divBdr>
        <w:top w:val="none" w:sz="0" w:space="0" w:color="auto"/>
        <w:left w:val="none" w:sz="0" w:space="0" w:color="auto"/>
        <w:bottom w:val="none" w:sz="0" w:space="0" w:color="auto"/>
        <w:right w:val="none" w:sz="0" w:space="0" w:color="auto"/>
      </w:divBdr>
    </w:div>
    <w:div w:id="1656183994">
      <w:bodyDiv w:val="1"/>
      <w:marLeft w:val="0"/>
      <w:marRight w:val="0"/>
      <w:marTop w:val="0"/>
      <w:marBottom w:val="0"/>
      <w:divBdr>
        <w:top w:val="none" w:sz="0" w:space="0" w:color="auto"/>
        <w:left w:val="none" w:sz="0" w:space="0" w:color="auto"/>
        <w:bottom w:val="none" w:sz="0" w:space="0" w:color="auto"/>
        <w:right w:val="none" w:sz="0" w:space="0" w:color="auto"/>
      </w:divBdr>
    </w:div>
    <w:div w:id="178915923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3" Type="http://schemas.openxmlformats.org/officeDocument/2006/relationships/hyperlink" Target="https://op.europa.eu/ro/publication-detail/-/publication/5045e494-2e4a-11ef-a61b-01aa75ed71a1/language-ro" TargetMode="External"/><Relationship Id="rId18" Type="http://schemas.openxmlformats.org/officeDocument/2006/relationships/hyperlink" Target="https://energie.gov.ro/wp-content/uploads/2024/06/Strategia_Energetica_vf_rev_1206-1-1.pdf" TargetMode="External"/><Relationship Id="rId26" Type="http://schemas.openxmlformats.org/officeDocument/2006/relationships/hyperlink" Target="https://op.europa.eu/ro/publication-detail/-/publication/5045e494-2e4a-11ef-a61b-01aa75ed71a1/language-ro" TargetMode="External"/><Relationship Id="rId39" Type="http://schemas.openxmlformats.org/officeDocument/2006/relationships/hyperlink" Target="https://www.eca.europa.eu/lists/ecadocuments/rcr_reporting_on_sustainability/rcr_reporting_on_sustainability_ro.pdf" TargetMode="External"/><Relationship Id="rId21" Type="http://schemas.openxmlformats.org/officeDocument/2006/relationships/hyperlink" Target="https://pr2021-2027.adroltenia.ro/pdr-planul-de-dezvoltare-regionala-2021-2027/" TargetMode="External"/><Relationship Id="rId34" Type="http://schemas.openxmlformats.org/officeDocument/2006/relationships/hyperlink" Target="https://pr2021-2027.adroltenia.ro/pdr-planul-de-dezvoltare-regionala-2021-2027/" TargetMode="External"/><Relationship Id="rId42" Type="http://schemas.openxmlformats.org/officeDocument/2006/relationships/hyperlink" Target="https://legislatie.just.ro/Public/DetaliiDocument/192301" TargetMode="External"/><Relationship Id="rId47" Type="http://schemas.openxmlformats.org/officeDocument/2006/relationships/hyperlink" Target="https://www.oecd-ilibrary.org/docserver/9b71c8d8-en.pdf?expires=1729262823&amp;id=id&amp;accname=guest&amp;checksum=722F3B0D4A97BC0D4400DC3CAB4C1C7B" TargetMode="External"/><Relationship Id="rId7" Type="http://schemas.openxmlformats.org/officeDocument/2006/relationships/hyperlink" Target="https://ec.europa.eu/assets/rtd/ris/2023/ec_rtd_ris-regional-profiles-romania.pdf" TargetMode="External"/><Relationship Id="rId2" Type="http://schemas.openxmlformats.org/officeDocument/2006/relationships/hyperlink" Target="https://ec.europa.eu/info/research-and-innovation/strategy/strategy-2020-2024_en" TargetMode="External"/><Relationship Id="rId16" Type="http://schemas.openxmlformats.org/officeDocument/2006/relationships/hyperlink" Target="https://eur-lex.europa.eu/legal-content/RO/TXT/PDF/?uri=OJ:L_202302413" TargetMode="External"/><Relationship Id="rId29" Type="http://schemas.openxmlformats.org/officeDocument/2006/relationships/hyperlink" Target="https://pr2021-2027.adroltenia.ro/pdr-planul-de-dezvoltare-regionala-2021-2027/" TargetMode="External"/><Relationship Id="rId1" Type="http://schemas.openxmlformats.org/officeDocument/2006/relationships/hyperlink" Target="https://eur-lex.europa.eu/legal-content/RO/TXT/PDF/?uri=CELEX:52020DC0103" TargetMode="External"/><Relationship Id="rId6" Type="http://schemas.openxmlformats.org/officeDocument/2006/relationships/hyperlink" Target="https://pr2021-2027.adroltenia.ro/pdr-planul-de-dezvoltare-regionala-2021-2027/" TargetMode="External"/><Relationship Id="rId11" Type="http://schemas.openxmlformats.org/officeDocument/2006/relationships/hyperlink" Target="https://mfe.gov.ro/wp-content/uploads/2022/07/a98dd335c7aa337c8c780fe771596a32.pdf" TargetMode="External"/><Relationship Id="rId24" Type="http://schemas.openxmlformats.org/officeDocument/2006/relationships/hyperlink" Target="https://eur-lex.europa.eu/legal-content/ro/TXT/?uri=CELEX%3A52020DC0789" TargetMode="External"/><Relationship Id="rId32" Type="http://schemas.openxmlformats.org/officeDocument/2006/relationships/hyperlink" Target="chrome-extension://efaidnbmnnnibpcajpcglclefindmkaj/https:/eur-lex.europa.eu/resource.html?uri=cellar:0e8b694e-59b5-11e8-ab41-01aa75ed71a1.0009.02/DOC_1&amp;format=PDF" TargetMode="External"/><Relationship Id="rId37" Type="http://schemas.openxmlformats.org/officeDocument/2006/relationships/hyperlink" Target="C://Users/Roxana/Downloads/document%20de%20lucru%20al%20serviciilor%20comisiei%20raportul-1_RO_autre_document_travail_service_part1_v2.pdf" TargetMode="External"/><Relationship Id="rId40" Type="http://schemas.openxmlformats.org/officeDocument/2006/relationships/hyperlink" Target="https://www.edu.ro/sites/default/files/Strategia-nationala-pentru-dezvoltarea-durabila-a-Rom%C3%A2niei-2030.pdf" TargetMode="External"/><Relationship Id="rId45" Type="http://schemas.openxmlformats.org/officeDocument/2006/relationships/hyperlink" Target="https://ec.europa.eu/regional_policy/ro/information/publications/guides/2020/roadmaps-for-administrative-capacity-building-practical-toolkit" TargetMode="External"/><Relationship Id="rId5" Type="http://schemas.openxmlformats.org/officeDocument/2006/relationships/hyperlink" Target="https://www.poc.research.gov.ro/uploads/2021-2027/conditie-favorizanta/sncisi_19-iulie.pdf" TargetMode="External"/><Relationship Id="rId15" Type="http://schemas.openxmlformats.org/officeDocument/2006/relationships/hyperlink" Target="https://www.adroltenia.ro/wp-content/uploads/2023/08/RIS-SVO-21-27_martie-2021-avizata-CRI-aranjata.pdf" TargetMode="External"/><Relationship Id="rId23" Type="http://schemas.openxmlformats.org/officeDocument/2006/relationships/hyperlink" Target="https://ec.europa.eu/commission/presscorner/detail/ro/ip_23_4754" TargetMode="External"/><Relationship Id="rId28" Type="http://schemas.openxmlformats.org/officeDocument/2006/relationships/hyperlink" Target="https://energie.gov.ro/pniesc/" TargetMode="External"/><Relationship Id="rId36" Type="http://schemas.openxmlformats.org/officeDocument/2006/relationships/hyperlink" Target="https://op.europa.eu/en/publication-detail/-/publication/eb2fb21a-8cd8-11ee-8aa6-01aa75ed71a1/language-ro" TargetMode="External"/><Relationship Id="rId10" Type="http://schemas.openxmlformats.org/officeDocument/2006/relationships/hyperlink" Target="https://eufordigital.eu/wp-content/uploads/2021/03/2030-Digital-Compass-the-European-way-for-the-Digital-Decade.pdf" TargetMode="External"/><Relationship Id="rId19" Type="http://schemas.openxmlformats.org/officeDocument/2006/relationships/hyperlink" Target="https://energie.gov.ro/pniesc/" TargetMode="External"/><Relationship Id="rId31" Type="http://schemas.openxmlformats.org/officeDocument/2006/relationships/hyperlink" Target="https://www.mmediu.ro/categorie/planul-investitional-pentru-dezvoltarea-infrastructurii-de-transport/372" TargetMode="External"/><Relationship Id="rId44" Type="http://schemas.openxmlformats.org/officeDocument/2006/relationships/hyperlink" Target="https://pr2021-2027.adroltenia.ro/pdr-planul-de-dezvoltare-regionala-2021-2027/" TargetMode="External"/><Relationship Id="rId4" Type="http://schemas.openxmlformats.org/officeDocument/2006/relationships/hyperlink" Target="https://economie.gov.ro/strategia-nationala-de-competitivitate-2021-2027/" TargetMode="External"/><Relationship Id="rId9" Type="http://schemas.openxmlformats.org/officeDocument/2006/relationships/hyperlink" Target="https://ec.europa.eu/info/strategy/priorities-2019-2024/europe-fit-digital-age/shaping-europe-digital-future_en" TargetMode="External"/><Relationship Id="rId14" Type="http://schemas.openxmlformats.org/officeDocument/2006/relationships/hyperlink" Target="https://pr2021-2027.adroltenia.ro/pdr-planul-de-dezvoltare-regionala-2021-2027/" TargetMode="External"/><Relationship Id="rId22" Type="http://schemas.openxmlformats.org/officeDocument/2006/relationships/hyperlink" Target="https://commission.europa.eu/strategy-and-policy/priorities-2019-2024/european-green-deal/transport-and-green-deal_ro" TargetMode="External"/><Relationship Id="rId27" Type="http://schemas.openxmlformats.org/officeDocument/2006/relationships/hyperlink" Target="https://dezvoltaredurabila.gov.ro/strategia-nationala-pentru-dezvoltarea-durabila-a-romaniei-2030-i" TargetMode="External"/><Relationship Id="rId30" Type="http://schemas.openxmlformats.org/officeDocument/2006/relationships/hyperlink" Target="chrome-extension://efaidnbmnnnibpcajpcglclefindmkaj/https:/www.mt.ro/web14/documente/strategie/mpgt/23072015/Master%20Planul%20General%20de%20Transport_iulie_2015_vol%20I.pdf" TargetMode="External"/><Relationship Id="rId35" Type="http://schemas.openxmlformats.org/officeDocument/2006/relationships/hyperlink" Target="https://eur-lex.europa.eu/legal-content/RO/TXT/PDF/?uri=CELEX:32021G0226(01)" TargetMode="External"/><Relationship Id="rId43" Type="http://schemas.openxmlformats.org/officeDocument/2006/relationships/hyperlink" Target="https://www.cultura.ro/sites/default/files/inline-files/_SCPN%202016-2022inavizare.pdf" TargetMode="External"/><Relationship Id="rId48" Type="http://schemas.openxmlformats.org/officeDocument/2006/relationships/hyperlink" Target="https://op.europa.eu/ro/publication-detail/-/publication/90311e18-95fe-11e8-8bc1-01aa75ed71a1/language-en" TargetMode="External"/><Relationship Id="rId8" Type="http://schemas.openxmlformats.org/officeDocument/2006/relationships/hyperlink" Target="https://www.adroltenia.ro/wp-content/uploads/2023/08/RIS-SVO-21-27_martie-2021-avizata-CRI-aranjata.pdf" TargetMode="External"/><Relationship Id="rId3" Type="http://schemas.openxmlformats.org/officeDocument/2006/relationships/hyperlink" Target="https://mfe.gov.ro/wp-content/uploads/2022/07/a98dd335c7aa337c8c780fe771596a32.pdf" TargetMode="External"/><Relationship Id="rId12" Type="http://schemas.openxmlformats.org/officeDocument/2006/relationships/hyperlink" Target="https://digital-strategy.ec.europa.eu/en/policies/desi-romania" TargetMode="External"/><Relationship Id="rId17" Type="http://schemas.openxmlformats.org/officeDocument/2006/relationships/hyperlink" Target="https://eur-lex.europa.eu/legal-content/RO/TXT/PDF/?uri=CELEX:32023L1791" TargetMode="External"/><Relationship Id="rId25" Type="http://schemas.openxmlformats.org/officeDocument/2006/relationships/hyperlink" Target="https://op.europa.eu/ro/publication-detail/-/publication/5045e494-2e4a-11ef-a61b-01aa75ed71a1/language-ro" TargetMode="External"/><Relationship Id="rId33" Type="http://schemas.openxmlformats.org/officeDocument/2006/relationships/hyperlink" Target="https://www.cisr.ro/snsr-2021-2023" TargetMode="External"/><Relationship Id="rId38" Type="http://schemas.openxmlformats.org/officeDocument/2006/relationships/hyperlink" Target="https://eur-lex.europa.eu/legal-content/RO/TXT/PDF/?uri=CELEX:52021XG0602(01)&amp;from=EN" TargetMode="External"/><Relationship Id="rId46" Type="http://schemas.openxmlformats.org/officeDocument/2006/relationships/hyperlink" Target="https://pr2021-2027.adroltenia.ro/wp-content/uploads/2024/06/foaie-parcurs-ACB-SV-versiune-2024.pdf" TargetMode="External"/><Relationship Id="rId20" Type="http://schemas.openxmlformats.org/officeDocument/2006/relationships/hyperlink" Target="https://op.europa.eu/ro/publication-detail/-/publication/5045e494-2e4a-11ef-a61b-01aa75ed71a1/language-ro" TargetMode="External"/><Relationship Id="rId41" Type="http://schemas.openxmlformats.org/officeDocument/2006/relationships/hyperlink" Target="https://turism.gov.ro/web/wp-content/uploads/2022/11/SNRDT-actualizat-var-pt-HG-2023-2035.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1E862-4414-4CD2-A35E-F80DAC689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2347</TotalTime>
  <Pages>17</Pages>
  <Words>6561</Words>
  <Characters>37401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Evaluarea coerenței și relevanței acțiunilor programate și implementate în cadrul PR SV Oltenia 2021 - 2027 - Evaluarea Intermediară (Mid-Term Review)</vt:lpstr>
    </vt:vector>
  </TitlesOfParts>
  <Company/>
  <LinksUpToDate>false</LinksUpToDate>
  <CharactersWithSpaces>43875</CharactersWithSpaces>
  <SharedDoc>false</SharedDoc>
  <HLinks>
    <vt:vector size="288" baseType="variant">
      <vt:variant>
        <vt:i4>1703992</vt:i4>
      </vt:variant>
      <vt:variant>
        <vt:i4>86</vt:i4>
      </vt:variant>
      <vt:variant>
        <vt:i4>0</vt:i4>
      </vt:variant>
      <vt:variant>
        <vt:i4>5</vt:i4>
      </vt:variant>
      <vt:variant>
        <vt:lpwstr/>
      </vt:variant>
      <vt:variant>
        <vt:lpwstr>_Toc179892906</vt:lpwstr>
      </vt:variant>
      <vt:variant>
        <vt:i4>1703992</vt:i4>
      </vt:variant>
      <vt:variant>
        <vt:i4>80</vt:i4>
      </vt:variant>
      <vt:variant>
        <vt:i4>0</vt:i4>
      </vt:variant>
      <vt:variant>
        <vt:i4>5</vt:i4>
      </vt:variant>
      <vt:variant>
        <vt:lpwstr/>
      </vt:variant>
      <vt:variant>
        <vt:lpwstr>_Toc179892905</vt:lpwstr>
      </vt:variant>
      <vt:variant>
        <vt:i4>1703992</vt:i4>
      </vt:variant>
      <vt:variant>
        <vt:i4>74</vt:i4>
      </vt:variant>
      <vt:variant>
        <vt:i4>0</vt:i4>
      </vt:variant>
      <vt:variant>
        <vt:i4>5</vt:i4>
      </vt:variant>
      <vt:variant>
        <vt:lpwstr/>
      </vt:variant>
      <vt:variant>
        <vt:lpwstr>_Toc179892904</vt:lpwstr>
      </vt:variant>
      <vt:variant>
        <vt:i4>1703992</vt:i4>
      </vt:variant>
      <vt:variant>
        <vt:i4>68</vt:i4>
      </vt:variant>
      <vt:variant>
        <vt:i4>0</vt:i4>
      </vt:variant>
      <vt:variant>
        <vt:i4>5</vt:i4>
      </vt:variant>
      <vt:variant>
        <vt:lpwstr/>
      </vt:variant>
      <vt:variant>
        <vt:lpwstr>_Toc179892903</vt:lpwstr>
      </vt:variant>
      <vt:variant>
        <vt:i4>1703992</vt:i4>
      </vt:variant>
      <vt:variant>
        <vt:i4>62</vt:i4>
      </vt:variant>
      <vt:variant>
        <vt:i4>0</vt:i4>
      </vt:variant>
      <vt:variant>
        <vt:i4>5</vt:i4>
      </vt:variant>
      <vt:variant>
        <vt:lpwstr/>
      </vt:variant>
      <vt:variant>
        <vt:lpwstr>_Toc179892902</vt:lpwstr>
      </vt:variant>
      <vt:variant>
        <vt:i4>1703992</vt:i4>
      </vt:variant>
      <vt:variant>
        <vt:i4>56</vt:i4>
      </vt:variant>
      <vt:variant>
        <vt:i4>0</vt:i4>
      </vt:variant>
      <vt:variant>
        <vt:i4>5</vt:i4>
      </vt:variant>
      <vt:variant>
        <vt:lpwstr/>
      </vt:variant>
      <vt:variant>
        <vt:lpwstr>_Toc179892901</vt:lpwstr>
      </vt:variant>
      <vt:variant>
        <vt:i4>1703992</vt:i4>
      </vt:variant>
      <vt:variant>
        <vt:i4>50</vt:i4>
      </vt:variant>
      <vt:variant>
        <vt:i4>0</vt:i4>
      </vt:variant>
      <vt:variant>
        <vt:i4>5</vt:i4>
      </vt:variant>
      <vt:variant>
        <vt:lpwstr/>
      </vt:variant>
      <vt:variant>
        <vt:lpwstr>_Toc179892900</vt:lpwstr>
      </vt:variant>
      <vt:variant>
        <vt:i4>1245241</vt:i4>
      </vt:variant>
      <vt:variant>
        <vt:i4>44</vt:i4>
      </vt:variant>
      <vt:variant>
        <vt:i4>0</vt:i4>
      </vt:variant>
      <vt:variant>
        <vt:i4>5</vt:i4>
      </vt:variant>
      <vt:variant>
        <vt:lpwstr/>
      </vt:variant>
      <vt:variant>
        <vt:lpwstr>_Toc179892899</vt:lpwstr>
      </vt:variant>
      <vt:variant>
        <vt:i4>1245241</vt:i4>
      </vt:variant>
      <vt:variant>
        <vt:i4>38</vt:i4>
      </vt:variant>
      <vt:variant>
        <vt:i4>0</vt:i4>
      </vt:variant>
      <vt:variant>
        <vt:i4>5</vt:i4>
      </vt:variant>
      <vt:variant>
        <vt:lpwstr/>
      </vt:variant>
      <vt:variant>
        <vt:lpwstr>_Toc179892898</vt:lpwstr>
      </vt:variant>
      <vt:variant>
        <vt:i4>1245241</vt:i4>
      </vt:variant>
      <vt:variant>
        <vt:i4>32</vt:i4>
      </vt:variant>
      <vt:variant>
        <vt:i4>0</vt:i4>
      </vt:variant>
      <vt:variant>
        <vt:i4>5</vt:i4>
      </vt:variant>
      <vt:variant>
        <vt:lpwstr/>
      </vt:variant>
      <vt:variant>
        <vt:lpwstr>_Toc179892897</vt:lpwstr>
      </vt:variant>
      <vt:variant>
        <vt:i4>1245241</vt:i4>
      </vt:variant>
      <vt:variant>
        <vt:i4>26</vt:i4>
      </vt:variant>
      <vt:variant>
        <vt:i4>0</vt:i4>
      </vt:variant>
      <vt:variant>
        <vt:i4>5</vt:i4>
      </vt:variant>
      <vt:variant>
        <vt:lpwstr/>
      </vt:variant>
      <vt:variant>
        <vt:lpwstr>_Toc179892896</vt:lpwstr>
      </vt:variant>
      <vt:variant>
        <vt:i4>1245241</vt:i4>
      </vt:variant>
      <vt:variant>
        <vt:i4>20</vt:i4>
      </vt:variant>
      <vt:variant>
        <vt:i4>0</vt:i4>
      </vt:variant>
      <vt:variant>
        <vt:i4>5</vt:i4>
      </vt:variant>
      <vt:variant>
        <vt:lpwstr/>
      </vt:variant>
      <vt:variant>
        <vt:lpwstr>_Toc179892895</vt:lpwstr>
      </vt:variant>
      <vt:variant>
        <vt:i4>1245241</vt:i4>
      </vt:variant>
      <vt:variant>
        <vt:i4>14</vt:i4>
      </vt:variant>
      <vt:variant>
        <vt:i4>0</vt:i4>
      </vt:variant>
      <vt:variant>
        <vt:i4>5</vt:i4>
      </vt:variant>
      <vt:variant>
        <vt:lpwstr/>
      </vt:variant>
      <vt:variant>
        <vt:lpwstr>_Toc179892894</vt:lpwstr>
      </vt:variant>
      <vt:variant>
        <vt:i4>1245241</vt:i4>
      </vt:variant>
      <vt:variant>
        <vt:i4>8</vt:i4>
      </vt:variant>
      <vt:variant>
        <vt:i4>0</vt:i4>
      </vt:variant>
      <vt:variant>
        <vt:i4>5</vt:i4>
      </vt:variant>
      <vt:variant>
        <vt:lpwstr/>
      </vt:variant>
      <vt:variant>
        <vt:lpwstr>_Toc179892893</vt:lpwstr>
      </vt:variant>
      <vt:variant>
        <vt:i4>1245241</vt:i4>
      </vt:variant>
      <vt:variant>
        <vt:i4>2</vt:i4>
      </vt:variant>
      <vt:variant>
        <vt:i4>0</vt:i4>
      </vt:variant>
      <vt:variant>
        <vt:i4>5</vt:i4>
      </vt:variant>
      <vt:variant>
        <vt:lpwstr/>
      </vt:variant>
      <vt:variant>
        <vt:lpwstr>_Toc179892892</vt:lpwstr>
      </vt:variant>
      <vt:variant>
        <vt:i4>5505048</vt:i4>
      </vt:variant>
      <vt:variant>
        <vt:i4>96</vt:i4>
      </vt:variant>
      <vt:variant>
        <vt:i4>0</vt:i4>
      </vt:variant>
      <vt:variant>
        <vt:i4>5</vt:i4>
      </vt:variant>
      <vt:variant>
        <vt:lpwstr>https://op.europa.eu/ro/publication-detail/-/publication/90311e18-95fe-11e8-8bc1-01aa75ed71a1/language-en</vt:lpwstr>
      </vt:variant>
      <vt:variant>
        <vt:lpwstr/>
      </vt:variant>
      <vt:variant>
        <vt:i4>4522076</vt:i4>
      </vt:variant>
      <vt:variant>
        <vt:i4>93</vt:i4>
      </vt:variant>
      <vt:variant>
        <vt:i4>0</vt:i4>
      </vt:variant>
      <vt:variant>
        <vt:i4>5</vt:i4>
      </vt:variant>
      <vt:variant>
        <vt:lpwstr>https://www.oecd-ilibrary.org/docserver/9b71c8d8-en.pdf?expires=1729262823&amp;id=id&amp;accname=guest&amp;checksum=722F3B0D4A97BC0D4400DC3CAB4C1C7B</vt:lpwstr>
      </vt:variant>
      <vt:variant>
        <vt:lpwstr/>
      </vt:variant>
      <vt:variant>
        <vt:i4>6815859</vt:i4>
      </vt:variant>
      <vt:variant>
        <vt:i4>90</vt:i4>
      </vt:variant>
      <vt:variant>
        <vt:i4>0</vt:i4>
      </vt:variant>
      <vt:variant>
        <vt:i4>5</vt:i4>
      </vt:variant>
      <vt:variant>
        <vt:lpwstr>https://pr2021-2027.adroltenia.ro/wp-content/uploads/2024/06/foaie-parcurs-ACB-SV-versiune-2024.pdf</vt:lpwstr>
      </vt:variant>
      <vt:variant>
        <vt:lpwstr/>
      </vt:variant>
      <vt:variant>
        <vt:i4>6946892</vt:i4>
      </vt:variant>
      <vt:variant>
        <vt:i4>87</vt:i4>
      </vt:variant>
      <vt:variant>
        <vt:i4>0</vt:i4>
      </vt:variant>
      <vt:variant>
        <vt:i4>5</vt:i4>
      </vt:variant>
      <vt:variant>
        <vt:lpwstr>https://ec.europa.eu/regional_policy/ro/information/publications/guides/2020/roadmaps-for-administrative-capacity-building-practical-toolkit</vt:lpwstr>
      </vt:variant>
      <vt:variant>
        <vt:lpwstr/>
      </vt:variant>
      <vt:variant>
        <vt:i4>2359422</vt:i4>
      </vt:variant>
      <vt:variant>
        <vt:i4>84</vt:i4>
      </vt:variant>
      <vt:variant>
        <vt:i4>0</vt:i4>
      </vt:variant>
      <vt:variant>
        <vt:i4>5</vt:i4>
      </vt:variant>
      <vt:variant>
        <vt:lpwstr>https://pr2021-2027.adroltenia.ro/pdr-planul-de-dezvoltare-regionala-2021-2027/</vt:lpwstr>
      </vt:variant>
      <vt:variant>
        <vt:lpwstr/>
      </vt:variant>
      <vt:variant>
        <vt:i4>4653182</vt:i4>
      </vt:variant>
      <vt:variant>
        <vt:i4>81</vt:i4>
      </vt:variant>
      <vt:variant>
        <vt:i4>0</vt:i4>
      </vt:variant>
      <vt:variant>
        <vt:i4>5</vt:i4>
      </vt:variant>
      <vt:variant>
        <vt:lpwstr>https://www.cultura.ro/sites/default/files/inline-files/_SCPN 2016-2022inavizare.pdf</vt:lpwstr>
      </vt:variant>
      <vt:variant>
        <vt:lpwstr/>
      </vt:variant>
      <vt:variant>
        <vt:i4>1114133</vt:i4>
      </vt:variant>
      <vt:variant>
        <vt:i4>78</vt:i4>
      </vt:variant>
      <vt:variant>
        <vt:i4>0</vt:i4>
      </vt:variant>
      <vt:variant>
        <vt:i4>5</vt:i4>
      </vt:variant>
      <vt:variant>
        <vt:lpwstr>https://legislatie.just.ro/Public/DetaliiDocument/192301</vt:lpwstr>
      </vt:variant>
      <vt:variant>
        <vt:lpwstr/>
      </vt:variant>
      <vt:variant>
        <vt:i4>917597</vt:i4>
      </vt:variant>
      <vt:variant>
        <vt:i4>75</vt:i4>
      </vt:variant>
      <vt:variant>
        <vt:i4>0</vt:i4>
      </vt:variant>
      <vt:variant>
        <vt:i4>5</vt:i4>
      </vt:variant>
      <vt:variant>
        <vt:lpwstr>https://turism.gov.ro/web/wp-content/uploads/2022/11/SNRDT-actualizat-var-pt-HG-2023-2035.pdf</vt:lpwstr>
      </vt:variant>
      <vt:variant>
        <vt:lpwstr/>
      </vt:variant>
      <vt:variant>
        <vt:i4>3080317</vt:i4>
      </vt:variant>
      <vt:variant>
        <vt:i4>72</vt:i4>
      </vt:variant>
      <vt:variant>
        <vt:i4>0</vt:i4>
      </vt:variant>
      <vt:variant>
        <vt:i4>5</vt:i4>
      </vt:variant>
      <vt:variant>
        <vt:lpwstr>https://www.edu.ro/sites/default/files/Strategia-nationala-pentru-dezvoltarea-durabila-a-Rom%C3%A2niei-2030.pdf</vt:lpwstr>
      </vt:variant>
      <vt:variant>
        <vt:lpwstr/>
      </vt:variant>
      <vt:variant>
        <vt:i4>2752603</vt:i4>
      </vt:variant>
      <vt:variant>
        <vt:i4>69</vt:i4>
      </vt:variant>
      <vt:variant>
        <vt:i4>0</vt:i4>
      </vt:variant>
      <vt:variant>
        <vt:i4>5</vt:i4>
      </vt:variant>
      <vt:variant>
        <vt:lpwstr>https://www.eca.europa.eu/lists/ecadocuments/rcr_reporting_on_sustainability/rcr_reporting_on_sustainability_ro.pdf</vt:lpwstr>
      </vt:variant>
      <vt:variant>
        <vt:lpwstr/>
      </vt:variant>
      <vt:variant>
        <vt:i4>5111892</vt:i4>
      </vt:variant>
      <vt:variant>
        <vt:i4>66</vt:i4>
      </vt:variant>
      <vt:variant>
        <vt:i4>0</vt:i4>
      </vt:variant>
      <vt:variant>
        <vt:i4>5</vt:i4>
      </vt:variant>
      <vt:variant>
        <vt:lpwstr>https://eur-lex.europa.eu/legal-content/RO/TXT/PDF/?uri=CELEX:52021XG0602(01)&amp;from=EN</vt:lpwstr>
      </vt:variant>
      <vt:variant>
        <vt:lpwstr/>
      </vt:variant>
      <vt:variant>
        <vt:i4>7405610</vt:i4>
      </vt:variant>
      <vt:variant>
        <vt:i4>63</vt:i4>
      </vt:variant>
      <vt:variant>
        <vt:i4>0</vt:i4>
      </vt:variant>
      <vt:variant>
        <vt:i4>5</vt:i4>
      </vt:variant>
      <vt:variant>
        <vt:lpwstr>file://C:\\Users\Roxana\Downloads\document de lucru al serviciilor comisiei raportul-1_RO_autre_document_travail_service_part1_v2.pdf</vt:lpwstr>
      </vt:variant>
      <vt:variant>
        <vt:lpwstr/>
      </vt:variant>
      <vt:variant>
        <vt:i4>5570638</vt:i4>
      </vt:variant>
      <vt:variant>
        <vt:i4>60</vt:i4>
      </vt:variant>
      <vt:variant>
        <vt:i4>0</vt:i4>
      </vt:variant>
      <vt:variant>
        <vt:i4>5</vt:i4>
      </vt:variant>
      <vt:variant>
        <vt:lpwstr>https://op.europa.eu/en/publication-detail/-/publication/eb2fb21a-8cd8-11ee-8aa6-01aa75ed71a1/language-ro</vt:lpwstr>
      </vt:variant>
      <vt:variant>
        <vt:lpwstr/>
      </vt:variant>
      <vt:variant>
        <vt:i4>589831</vt:i4>
      </vt:variant>
      <vt:variant>
        <vt:i4>57</vt:i4>
      </vt:variant>
      <vt:variant>
        <vt:i4>0</vt:i4>
      </vt:variant>
      <vt:variant>
        <vt:i4>5</vt:i4>
      </vt:variant>
      <vt:variant>
        <vt:lpwstr>https://eur-lex.europa.eu/legal-content/RO/TXT/PDF/?uri=CELEX:32021G0226(01)</vt:lpwstr>
      </vt:variant>
      <vt:variant>
        <vt:lpwstr/>
      </vt:variant>
      <vt:variant>
        <vt:i4>2359422</vt:i4>
      </vt:variant>
      <vt:variant>
        <vt:i4>54</vt:i4>
      </vt:variant>
      <vt:variant>
        <vt:i4>0</vt:i4>
      </vt:variant>
      <vt:variant>
        <vt:i4>5</vt:i4>
      </vt:variant>
      <vt:variant>
        <vt:lpwstr>https://pr2021-2027.adroltenia.ro/pdr-planul-de-dezvoltare-regionala-2021-2027/</vt:lpwstr>
      </vt:variant>
      <vt:variant>
        <vt:lpwstr/>
      </vt:variant>
      <vt:variant>
        <vt:i4>3932221</vt:i4>
      </vt:variant>
      <vt:variant>
        <vt:i4>51</vt:i4>
      </vt:variant>
      <vt:variant>
        <vt:i4>0</vt:i4>
      </vt:variant>
      <vt:variant>
        <vt:i4>5</vt:i4>
      </vt:variant>
      <vt:variant>
        <vt:lpwstr>https://www.cisr.ro/snsr-2021-2023</vt:lpwstr>
      </vt:variant>
      <vt:variant>
        <vt:lpwstr/>
      </vt:variant>
      <vt:variant>
        <vt:i4>2818127</vt:i4>
      </vt:variant>
      <vt:variant>
        <vt:i4>48</vt:i4>
      </vt:variant>
      <vt:variant>
        <vt:i4>0</vt:i4>
      </vt:variant>
      <vt:variant>
        <vt:i4>5</vt:i4>
      </vt:variant>
      <vt:variant>
        <vt:lpwstr>chrome-extension://efaidnbmnnnibpcajpcglclefindmkaj/https:/eur-lex.europa.eu/resource.html?uri=cellar:0e8b694e-59b5-11e8-ab41-01aa75ed71a1.0009.02/DOC_1&amp;format=PDF</vt:lpwstr>
      </vt:variant>
      <vt:variant>
        <vt:lpwstr/>
      </vt:variant>
      <vt:variant>
        <vt:i4>327771</vt:i4>
      </vt:variant>
      <vt:variant>
        <vt:i4>45</vt:i4>
      </vt:variant>
      <vt:variant>
        <vt:i4>0</vt:i4>
      </vt:variant>
      <vt:variant>
        <vt:i4>5</vt:i4>
      </vt:variant>
      <vt:variant>
        <vt:lpwstr>https://www.mmediu.ro/categorie/planul-investitional-pentru-dezvoltarea-infrastructurii-de-transport/372</vt:lpwstr>
      </vt:variant>
      <vt:variant>
        <vt:lpwstr/>
      </vt:variant>
      <vt:variant>
        <vt:i4>1114226</vt:i4>
      </vt:variant>
      <vt:variant>
        <vt:i4>42</vt:i4>
      </vt:variant>
      <vt:variant>
        <vt:i4>0</vt:i4>
      </vt:variant>
      <vt:variant>
        <vt:i4>5</vt:i4>
      </vt:variant>
      <vt:variant>
        <vt:lpwstr>chrome-extension://efaidnbmnnnibpcajpcglclefindmkaj/https:/www.mt.ro/web14/documente/strategie/mpgt/23072015/Master Planul General de Transport_iulie_2015_vol I.pdf</vt:lpwstr>
      </vt:variant>
      <vt:variant>
        <vt:lpwstr/>
      </vt:variant>
      <vt:variant>
        <vt:i4>2359422</vt:i4>
      </vt:variant>
      <vt:variant>
        <vt:i4>39</vt:i4>
      </vt:variant>
      <vt:variant>
        <vt:i4>0</vt:i4>
      </vt:variant>
      <vt:variant>
        <vt:i4>5</vt:i4>
      </vt:variant>
      <vt:variant>
        <vt:lpwstr>https://pr2021-2027.adroltenia.ro/pdr-planul-de-dezvoltare-regionala-2021-2027/</vt:lpwstr>
      </vt:variant>
      <vt:variant>
        <vt:lpwstr/>
      </vt:variant>
      <vt:variant>
        <vt:i4>2162790</vt:i4>
      </vt:variant>
      <vt:variant>
        <vt:i4>36</vt:i4>
      </vt:variant>
      <vt:variant>
        <vt:i4>0</vt:i4>
      </vt:variant>
      <vt:variant>
        <vt:i4>5</vt:i4>
      </vt:variant>
      <vt:variant>
        <vt:lpwstr>https://energie.gov.ro/pniesc/</vt:lpwstr>
      </vt:variant>
      <vt:variant>
        <vt:lpwstr/>
      </vt:variant>
      <vt:variant>
        <vt:i4>6357114</vt:i4>
      </vt:variant>
      <vt:variant>
        <vt:i4>33</vt:i4>
      </vt:variant>
      <vt:variant>
        <vt:i4>0</vt:i4>
      </vt:variant>
      <vt:variant>
        <vt:i4>5</vt:i4>
      </vt:variant>
      <vt:variant>
        <vt:lpwstr>https://dezvoltaredurabila.gov.ro/strategia-nationala-pentru-dezvoltarea-durabila-a-romaniei-2030-i</vt:lpwstr>
      </vt:variant>
      <vt:variant>
        <vt:lpwstr/>
      </vt:variant>
      <vt:variant>
        <vt:i4>4653133</vt:i4>
      </vt:variant>
      <vt:variant>
        <vt:i4>30</vt:i4>
      </vt:variant>
      <vt:variant>
        <vt:i4>0</vt:i4>
      </vt:variant>
      <vt:variant>
        <vt:i4>5</vt:i4>
      </vt:variant>
      <vt:variant>
        <vt:lpwstr>https://op.europa.eu/ro/publication-detail/-/publication/5045e494-2e4a-11ef-a61b-01aa75ed71a1/language-ro</vt:lpwstr>
      </vt:variant>
      <vt:variant>
        <vt:lpwstr/>
      </vt:variant>
      <vt:variant>
        <vt:i4>4653133</vt:i4>
      </vt:variant>
      <vt:variant>
        <vt:i4>27</vt:i4>
      </vt:variant>
      <vt:variant>
        <vt:i4>0</vt:i4>
      </vt:variant>
      <vt:variant>
        <vt:i4>5</vt:i4>
      </vt:variant>
      <vt:variant>
        <vt:lpwstr>https://op.europa.eu/ro/publication-detail/-/publication/5045e494-2e4a-11ef-a61b-01aa75ed71a1/language-ro</vt:lpwstr>
      </vt:variant>
      <vt:variant>
        <vt:lpwstr/>
      </vt:variant>
      <vt:variant>
        <vt:i4>7798839</vt:i4>
      </vt:variant>
      <vt:variant>
        <vt:i4>24</vt:i4>
      </vt:variant>
      <vt:variant>
        <vt:i4>0</vt:i4>
      </vt:variant>
      <vt:variant>
        <vt:i4>5</vt:i4>
      </vt:variant>
      <vt:variant>
        <vt:lpwstr>https://eur-lex.europa.eu/legal-content/ro/TXT/?uri=CELEX%3A52020DC0789</vt:lpwstr>
      </vt:variant>
      <vt:variant>
        <vt:lpwstr/>
      </vt:variant>
      <vt:variant>
        <vt:i4>7012452</vt:i4>
      </vt:variant>
      <vt:variant>
        <vt:i4>21</vt:i4>
      </vt:variant>
      <vt:variant>
        <vt:i4>0</vt:i4>
      </vt:variant>
      <vt:variant>
        <vt:i4>5</vt:i4>
      </vt:variant>
      <vt:variant>
        <vt:lpwstr>https://ec.europa.eu/commission/presscorner/detail/ro/ip_23_4754</vt:lpwstr>
      </vt:variant>
      <vt:variant>
        <vt:lpwstr/>
      </vt:variant>
      <vt:variant>
        <vt:i4>2359298</vt:i4>
      </vt:variant>
      <vt:variant>
        <vt:i4>18</vt:i4>
      </vt:variant>
      <vt:variant>
        <vt:i4>0</vt:i4>
      </vt:variant>
      <vt:variant>
        <vt:i4>5</vt:i4>
      </vt:variant>
      <vt:variant>
        <vt:lpwstr>https://commission.europa.eu/strategy-and-policy/priorities-2019-2024/european-green-deal/transport-and-green-deal_ro</vt:lpwstr>
      </vt:variant>
      <vt:variant>
        <vt:lpwstr>sus%C8%9Binem-transporturile-eficiente-sigure-%C8%99i-ecologice</vt:lpwstr>
      </vt:variant>
      <vt:variant>
        <vt:i4>2359422</vt:i4>
      </vt:variant>
      <vt:variant>
        <vt:i4>15</vt:i4>
      </vt:variant>
      <vt:variant>
        <vt:i4>0</vt:i4>
      </vt:variant>
      <vt:variant>
        <vt:i4>5</vt:i4>
      </vt:variant>
      <vt:variant>
        <vt:lpwstr>https://pr2021-2027.adroltenia.ro/pdr-planul-de-dezvoltare-regionala-2021-2027/</vt:lpwstr>
      </vt:variant>
      <vt:variant>
        <vt:lpwstr/>
      </vt:variant>
      <vt:variant>
        <vt:i4>4653133</vt:i4>
      </vt:variant>
      <vt:variant>
        <vt:i4>12</vt:i4>
      </vt:variant>
      <vt:variant>
        <vt:i4>0</vt:i4>
      </vt:variant>
      <vt:variant>
        <vt:i4>5</vt:i4>
      </vt:variant>
      <vt:variant>
        <vt:lpwstr>https://op.europa.eu/ro/publication-detail/-/publication/5045e494-2e4a-11ef-a61b-01aa75ed71a1/language-ro</vt:lpwstr>
      </vt:variant>
      <vt:variant>
        <vt:lpwstr/>
      </vt:variant>
      <vt:variant>
        <vt:i4>2162790</vt:i4>
      </vt:variant>
      <vt:variant>
        <vt:i4>9</vt:i4>
      </vt:variant>
      <vt:variant>
        <vt:i4>0</vt:i4>
      </vt:variant>
      <vt:variant>
        <vt:i4>5</vt:i4>
      </vt:variant>
      <vt:variant>
        <vt:lpwstr>https://energie.gov.ro/pniesc/</vt:lpwstr>
      </vt:variant>
      <vt:variant>
        <vt:lpwstr/>
      </vt:variant>
      <vt:variant>
        <vt:i4>1900549</vt:i4>
      </vt:variant>
      <vt:variant>
        <vt:i4>6</vt:i4>
      </vt:variant>
      <vt:variant>
        <vt:i4>0</vt:i4>
      </vt:variant>
      <vt:variant>
        <vt:i4>5</vt:i4>
      </vt:variant>
      <vt:variant>
        <vt:lpwstr>https://energie.gov.ro/wp-content/uploads/2024/06/Strategia_Energetica_vf_rev_1206-1-1.pdf</vt:lpwstr>
      </vt:variant>
      <vt:variant>
        <vt:lpwstr/>
      </vt:variant>
      <vt:variant>
        <vt:i4>1638422</vt:i4>
      </vt:variant>
      <vt:variant>
        <vt:i4>3</vt:i4>
      </vt:variant>
      <vt:variant>
        <vt:i4>0</vt:i4>
      </vt:variant>
      <vt:variant>
        <vt:i4>5</vt:i4>
      </vt:variant>
      <vt:variant>
        <vt:lpwstr>https://eur-lex.europa.eu/legal-content/RO/TXT/PDF/?uri=CELEX:32023L1791</vt:lpwstr>
      </vt:variant>
      <vt:variant>
        <vt:lpwstr/>
      </vt:variant>
      <vt:variant>
        <vt:i4>7864403</vt:i4>
      </vt:variant>
      <vt:variant>
        <vt:i4>0</vt:i4>
      </vt:variant>
      <vt:variant>
        <vt:i4>0</vt:i4>
      </vt:variant>
      <vt:variant>
        <vt:i4>5</vt:i4>
      </vt:variant>
      <vt:variant>
        <vt:lpwstr>https://eur-lex.europa.eu/legal-content/RO/TXT/PDF/?uri=OJ:L_202302413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Evaluarea coerenței și relevanței acțiunilor programate și implementate în cadrul PR SV Oltenia 2021 - 2027 - Evaluarea Intermediară (Mid-Term Review)</dc:title>
  <dc:subject>Raport inițial</dc:subject>
  <dc:creator>Roxana Diaconu</dc:creator>
  <cp:keywords/>
  <dc:description/>
  <cp:lastModifiedBy>Roxana Diaconu</cp:lastModifiedBy>
  <cp:revision>850</cp:revision>
  <dcterms:created xsi:type="dcterms:W3CDTF">2024-10-11T08:03:00Z</dcterms:created>
  <dcterms:modified xsi:type="dcterms:W3CDTF">2025-04-17T12:07:00Z</dcterms:modified>
</cp:coreProperties>
</file>